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5C" w:rsidRDefault="00F71E5C" w:rsidP="00312676">
      <w:pPr>
        <w:autoSpaceDE w:val="0"/>
        <w:autoSpaceDN w:val="0"/>
        <w:adjustRightInd w:val="0"/>
        <w:spacing w:before="240" w:after="120"/>
        <w:ind w:left="709"/>
        <w:jc w:val="center"/>
        <w:rPr>
          <w:rFonts w:ascii="Arial" w:hAnsi="Arial" w:cs="Arial"/>
          <w:b/>
          <w:sz w:val="17"/>
          <w:szCs w:val="17"/>
        </w:rPr>
      </w:pPr>
      <w:r w:rsidRPr="00BA272D">
        <w:rPr>
          <w:rFonts w:ascii="Arial" w:hAnsi="Arial" w:cs="Arial"/>
          <w:b/>
          <w:sz w:val="17"/>
          <w:szCs w:val="17"/>
        </w:rPr>
        <w:t>NOTAS A LOS ESTAD</w:t>
      </w:r>
      <w:bookmarkStart w:id="0" w:name="_GoBack"/>
      <w:bookmarkEnd w:id="0"/>
      <w:r w:rsidRPr="00BA272D">
        <w:rPr>
          <w:rFonts w:ascii="Arial" w:hAnsi="Arial" w:cs="Arial"/>
          <w:b/>
          <w:sz w:val="17"/>
          <w:szCs w:val="17"/>
        </w:rPr>
        <w:t>OS FINANCIEROS DEL PODER EJECUTIVO DEL ESTADO DE QUERÉTARO</w:t>
      </w:r>
    </w:p>
    <w:p w:rsidR="00312676" w:rsidRPr="00BA272D" w:rsidRDefault="00312676" w:rsidP="00312676">
      <w:pPr>
        <w:autoSpaceDE w:val="0"/>
        <w:autoSpaceDN w:val="0"/>
        <w:adjustRightInd w:val="0"/>
        <w:spacing w:before="240" w:after="120"/>
        <w:ind w:left="709"/>
        <w:jc w:val="center"/>
        <w:rPr>
          <w:rFonts w:ascii="Arial" w:hAnsi="Arial" w:cs="Arial"/>
          <w:b/>
          <w:sz w:val="17"/>
          <w:szCs w:val="17"/>
        </w:rPr>
      </w:pPr>
    </w:p>
    <w:p w:rsidR="00F71E5C" w:rsidRPr="00BA272D" w:rsidRDefault="00F71E5C" w:rsidP="003B1811">
      <w:pPr>
        <w:spacing w:before="80" w:line="250" w:lineRule="exact"/>
        <w:ind w:left="426"/>
        <w:jc w:val="both"/>
        <w:rPr>
          <w:rFonts w:ascii="Arial" w:eastAsia="Calibri" w:hAnsi="Arial" w:cs="Arial"/>
          <w:spacing w:val="-1"/>
          <w:sz w:val="17"/>
          <w:szCs w:val="17"/>
        </w:rPr>
      </w:pPr>
      <w:r w:rsidRPr="00BA272D">
        <w:rPr>
          <w:rFonts w:ascii="Arial" w:eastAsia="Calibri" w:hAnsi="Arial" w:cs="Arial"/>
          <w:spacing w:val="-1"/>
          <w:sz w:val="17"/>
          <w:szCs w:val="17"/>
        </w:rPr>
        <w:t xml:space="preserve">Con el propósito de dar cumplimiento a los artículos 46 y 49 de la Ley General de Contabilidad Gubernamental (LGCG), así como a la normatividad emitida por el Consejo Nacional de Armonización Contable (CONAC), se presentan las notas a los estados financieros correspondientes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teniendo presente los postulados de revelación suficiente e importancia relativa con la finalidad de que la información sea de mayor utilidad para los usuarios. Los tres tipos de notas que acompañan a los estados financieros, son:</w:t>
      </w:r>
    </w:p>
    <w:p w:rsidR="00F71E5C" w:rsidRPr="00BA272D" w:rsidRDefault="00F71E5C" w:rsidP="003B1811">
      <w:pPr>
        <w:pStyle w:val="Prrafodelista"/>
        <w:numPr>
          <w:ilvl w:val="0"/>
          <w:numId w:val="8"/>
        </w:numPr>
        <w:spacing w:before="80" w:line="250" w:lineRule="exact"/>
        <w:ind w:left="426" w:firstLine="0"/>
        <w:contextualSpacing w:val="0"/>
        <w:jc w:val="both"/>
        <w:rPr>
          <w:rFonts w:ascii="Arial" w:eastAsia="Calibri" w:hAnsi="Arial" w:cs="Arial"/>
          <w:spacing w:val="-1"/>
          <w:sz w:val="17"/>
          <w:szCs w:val="17"/>
        </w:rPr>
      </w:pPr>
      <w:r w:rsidRPr="00BA272D">
        <w:rPr>
          <w:rFonts w:ascii="Arial" w:eastAsia="Calibri" w:hAnsi="Arial" w:cs="Arial"/>
          <w:spacing w:val="-1"/>
          <w:sz w:val="17"/>
          <w:szCs w:val="17"/>
        </w:rPr>
        <w:t>a) Notas de Desglose;</w:t>
      </w:r>
    </w:p>
    <w:p w:rsidR="00F71E5C" w:rsidRPr="00BA272D" w:rsidRDefault="00F71E5C" w:rsidP="003B1811">
      <w:pPr>
        <w:pStyle w:val="Prrafodelista"/>
        <w:numPr>
          <w:ilvl w:val="0"/>
          <w:numId w:val="8"/>
        </w:numPr>
        <w:spacing w:before="80" w:line="250" w:lineRule="exact"/>
        <w:ind w:left="426" w:firstLine="0"/>
        <w:contextualSpacing w:val="0"/>
        <w:jc w:val="both"/>
        <w:rPr>
          <w:rFonts w:ascii="Arial" w:eastAsia="Calibri" w:hAnsi="Arial" w:cs="Arial"/>
          <w:spacing w:val="-1"/>
          <w:sz w:val="17"/>
          <w:szCs w:val="17"/>
        </w:rPr>
      </w:pPr>
      <w:r w:rsidRPr="00BA272D">
        <w:rPr>
          <w:rFonts w:ascii="Arial" w:eastAsia="Calibri" w:hAnsi="Arial" w:cs="Arial"/>
          <w:spacing w:val="-1"/>
          <w:sz w:val="17"/>
          <w:szCs w:val="17"/>
        </w:rPr>
        <w:t>b) Notas de Memoria (cuentas de orden), y</w:t>
      </w:r>
    </w:p>
    <w:p w:rsidR="00F71E5C" w:rsidRPr="00BA272D" w:rsidRDefault="00F71E5C" w:rsidP="003B1811">
      <w:pPr>
        <w:pStyle w:val="Prrafodelista"/>
        <w:numPr>
          <w:ilvl w:val="0"/>
          <w:numId w:val="8"/>
        </w:numPr>
        <w:spacing w:before="80" w:line="250" w:lineRule="exact"/>
        <w:ind w:left="426" w:firstLine="0"/>
        <w:contextualSpacing w:val="0"/>
        <w:jc w:val="both"/>
        <w:rPr>
          <w:rFonts w:ascii="Arial" w:eastAsia="Calibri" w:hAnsi="Arial" w:cs="Arial"/>
          <w:spacing w:val="-1"/>
          <w:sz w:val="17"/>
          <w:szCs w:val="17"/>
        </w:rPr>
      </w:pPr>
      <w:r w:rsidRPr="00BA272D">
        <w:rPr>
          <w:rFonts w:ascii="Arial" w:eastAsia="Calibri" w:hAnsi="Arial" w:cs="Arial"/>
          <w:spacing w:val="-1"/>
          <w:sz w:val="17"/>
          <w:szCs w:val="17"/>
        </w:rPr>
        <w:t>c) Notas de Gestión Administrativa.</w:t>
      </w:r>
    </w:p>
    <w:p w:rsidR="00F71E5C" w:rsidRPr="00BA272D" w:rsidRDefault="00F71E5C" w:rsidP="003B1811">
      <w:pPr>
        <w:numPr>
          <w:ilvl w:val="0"/>
          <w:numId w:val="9"/>
        </w:numPr>
        <w:autoSpaceDE w:val="0"/>
        <w:autoSpaceDN w:val="0"/>
        <w:adjustRightInd w:val="0"/>
        <w:spacing w:before="240" w:after="120"/>
        <w:ind w:left="426" w:firstLine="0"/>
        <w:jc w:val="center"/>
        <w:rPr>
          <w:rFonts w:ascii="Arial" w:hAnsi="Arial" w:cs="Arial"/>
          <w:b/>
          <w:sz w:val="17"/>
          <w:szCs w:val="17"/>
        </w:rPr>
      </w:pPr>
      <w:r w:rsidRPr="00BA272D">
        <w:rPr>
          <w:rFonts w:ascii="Arial" w:hAnsi="Arial" w:cs="Arial"/>
          <w:b/>
          <w:sz w:val="17"/>
          <w:szCs w:val="17"/>
        </w:rPr>
        <w:t>Notas de Desglose:</w:t>
      </w:r>
    </w:p>
    <w:p w:rsidR="00F71E5C" w:rsidRPr="00BA272D" w:rsidRDefault="00F71E5C" w:rsidP="003B1811">
      <w:pPr>
        <w:pStyle w:val="Prrafodelista"/>
        <w:numPr>
          <w:ilvl w:val="0"/>
          <w:numId w:val="10"/>
        </w:numPr>
        <w:autoSpaceDE w:val="0"/>
        <w:autoSpaceDN w:val="0"/>
        <w:adjustRightInd w:val="0"/>
        <w:spacing w:before="240" w:after="120"/>
        <w:ind w:left="426" w:firstLine="0"/>
        <w:jc w:val="both"/>
        <w:rPr>
          <w:rFonts w:ascii="Arial" w:hAnsi="Arial" w:cs="Arial"/>
          <w:b/>
          <w:sz w:val="17"/>
          <w:szCs w:val="17"/>
        </w:rPr>
      </w:pPr>
      <w:r w:rsidRPr="00BA272D">
        <w:rPr>
          <w:rFonts w:ascii="Arial" w:hAnsi="Arial" w:cs="Arial"/>
          <w:b/>
          <w:sz w:val="17"/>
          <w:szCs w:val="17"/>
        </w:rPr>
        <w:t>Notas al Estado de Situación Financiera</w:t>
      </w:r>
    </w:p>
    <w:p w:rsidR="00F71E5C" w:rsidRPr="00BA272D" w:rsidRDefault="00F71E5C" w:rsidP="003B1811">
      <w:pPr>
        <w:autoSpaceDE w:val="0"/>
        <w:autoSpaceDN w:val="0"/>
        <w:adjustRightInd w:val="0"/>
        <w:spacing w:before="240" w:after="120"/>
        <w:ind w:left="426"/>
        <w:jc w:val="both"/>
        <w:rPr>
          <w:rFonts w:ascii="Arial" w:hAnsi="Arial" w:cs="Arial"/>
          <w:b/>
          <w:sz w:val="17"/>
          <w:szCs w:val="17"/>
        </w:rPr>
      </w:pPr>
      <w:r w:rsidRPr="00BA272D">
        <w:rPr>
          <w:rFonts w:ascii="Arial" w:hAnsi="Arial" w:cs="Arial"/>
          <w:b/>
          <w:sz w:val="17"/>
          <w:szCs w:val="17"/>
        </w:rPr>
        <w:t>Activo</w:t>
      </w:r>
    </w:p>
    <w:p w:rsidR="00F71E5C" w:rsidRPr="00BA272D" w:rsidRDefault="00F71E5C" w:rsidP="003B1811">
      <w:pPr>
        <w:pStyle w:val="Prrafodelista"/>
        <w:numPr>
          <w:ilvl w:val="0"/>
          <w:numId w:val="8"/>
        </w:numPr>
        <w:spacing w:before="80" w:line="250" w:lineRule="exact"/>
        <w:ind w:left="426" w:firstLine="0"/>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t>Efectivo y equivalentes</w:t>
      </w:r>
    </w:p>
    <w:p w:rsidR="00F71E5C" w:rsidRPr="00BA272D" w:rsidRDefault="00F71E5C" w:rsidP="003B1811">
      <w:pPr>
        <w:pStyle w:val="Prrafodelista"/>
        <w:spacing w:before="80" w:line="250" w:lineRule="exact"/>
        <w:ind w:left="426"/>
        <w:contextualSpacing w:val="0"/>
        <w:jc w:val="both"/>
        <w:rPr>
          <w:rFonts w:ascii="Arial" w:eastAsia="Calibri" w:hAnsi="Arial" w:cs="Arial"/>
          <w:b/>
          <w:spacing w:val="-1"/>
          <w:sz w:val="17"/>
          <w:szCs w:val="17"/>
        </w:rPr>
      </w:pPr>
    </w:p>
    <w:p w:rsidR="00F71E5C" w:rsidRPr="00BA272D" w:rsidRDefault="00F71E5C" w:rsidP="003B1811">
      <w:pPr>
        <w:spacing w:before="80" w:line="250" w:lineRule="exact"/>
        <w:ind w:left="426"/>
        <w:jc w:val="both"/>
        <w:rPr>
          <w:rFonts w:ascii="Arial" w:eastAsia="Calibri" w:hAnsi="Arial" w:cs="Arial"/>
          <w:spacing w:val="-1"/>
          <w:sz w:val="17"/>
          <w:szCs w:val="17"/>
        </w:rPr>
      </w:pPr>
      <w:r w:rsidRPr="00BA272D">
        <w:rPr>
          <w:rFonts w:ascii="Arial" w:eastAsia="Calibri" w:hAnsi="Arial" w:cs="Arial"/>
          <w:spacing w:val="-1"/>
          <w:sz w:val="17"/>
          <w:szCs w:val="17"/>
        </w:rPr>
        <w:t>En este apartado se informa la integración del rubro efectivo y equivalentes en posición del Poder Ejecutivo del Estado de Querétaro:</w:t>
      </w:r>
    </w:p>
    <w:p w:rsidR="00F71E5C" w:rsidRPr="00BA272D" w:rsidRDefault="00F71E5C" w:rsidP="00F56C5A">
      <w:pPr>
        <w:autoSpaceDE w:val="0"/>
        <w:autoSpaceDN w:val="0"/>
        <w:adjustRightInd w:val="0"/>
        <w:spacing w:before="240"/>
        <w:ind w:left="426"/>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76ACB" w:rsidRPr="00BA272D"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r>
      <w:tr w:rsidR="00D76ACB" w:rsidRPr="00BA272D"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2,884,864,125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3,877,706,522 </w:t>
            </w:r>
          </w:p>
        </w:tc>
      </w:tr>
      <w:tr w:rsidR="00D76ACB" w:rsidRPr="00BA272D"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7,976,167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10,212,956 </w:t>
            </w:r>
          </w:p>
        </w:tc>
      </w:tr>
      <w:tr w:rsidR="00D76ACB" w:rsidRPr="00BA272D"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919,988,871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584,765,210 </w:t>
            </w:r>
          </w:p>
        </w:tc>
      </w:tr>
      <w:tr w:rsidR="00D76ACB" w:rsidRPr="00BA272D"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r>
      <w:tr w:rsidR="00D76ACB" w:rsidRPr="00BA272D" w:rsidTr="00312676">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Depósitos de Fondos de Terceros en Garantía  y/o Administración</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r>
      <w:tr w:rsidR="00D76ACB" w:rsidRPr="00BA272D" w:rsidTr="00312676">
        <w:trPr>
          <w:trHeight w:val="240"/>
        </w:trPr>
        <w:tc>
          <w:tcPr>
            <w:tcW w:w="4900" w:type="dxa"/>
            <w:tcBorders>
              <w:top w:val="nil"/>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r>
      <w:tr w:rsidR="00D76ACB"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6ACB" w:rsidRPr="00BA272D" w:rsidRDefault="00D76ACB" w:rsidP="00D76ACB">
            <w:pPr>
              <w:jc w:val="center"/>
              <w:rPr>
                <w:rFonts w:ascii="Arial" w:hAnsi="Arial" w:cs="Arial"/>
                <w:b/>
                <w:sz w:val="17"/>
                <w:szCs w:val="17"/>
              </w:rPr>
            </w:pPr>
            <w:r w:rsidRPr="00BA272D">
              <w:rPr>
                <w:rFonts w:ascii="Arial" w:hAnsi="Arial" w:cs="Arial"/>
                <w:b/>
                <w:sz w:val="17"/>
                <w:szCs w:val="17"/>
              </w:rPr>
              <w:t>Total</w:t>
            </w:r>
          </w:p>
        </w:tc>
        <w:tc>
          <w:tcPr>
            <w:tcW w:w="2180" w:type="dxa"/>
            <w:tcBorders>
              <w:top w:val="single" w:sz="4" w:space="0" w:color="auto"/>
              <w:left w:val="single" w:sz="4" w:space="0" w:color="auto"/>
              <w:bottom w:val="single" w:sz="4" w:space="0" w:color="auto"/>
              <w:right w:val="nil"/>
            </w:tcBorders>
            <w:shd w:val="clear" w:color="auto" w:fill="BFBFBF" w:themeFill="background1" w:themeFillShade="BF"/>
          </w:tcPr>
          <w:p w:rsidR="00D76ACB" w:rsidRPr="00BA272D" w:rsidRDefault="00D76ACB" w:rsidP="00D76ACB">
            <w:pPr>
              <w:jc w:val="right"/>
              <w:rPr>
                <w:rFonts w:ascii="Arial" w:hAnsi="Arial" w:cs="Arial"/>
                <w:b/>
                <w:sz w:val="17"/>
                <w:szCs w:val="17"/>
              </w:rPr>
            </w:pPr>
            <w:r w:rsidRPr="00BA272D">
              <w:rPr>
                <w:rFonts w:ascii="Arial" w:hAnsi="Arial" w:cs="Arial"/>
                <w:b/>
                <w:sz w:val="17"/>
                <w:szCs w:val="17"/>
              </w:rPr>
              <w:t xml:space="preserve"> 3,812,829,163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6ACB" w:rsidRPr="00BA272D" w:rsidRDefault="00D76ACB" w:rsidP="00D76ACB">
            <w:pPr>
              <w:jc w:val="right"/>
              <w:rPr>
                <w:rFonts w:ascii="Arial" w:hAnsi="Arial" w:cs="Arial"/>
                <w:b/>
                <w:sz w:val="17"/>
                <w:szCs w:val="17"/>
              </w:rPr>
            </w:pPr>
            <w:r w:rsidRPr="00BA272D">
              <w:rPr>
                <w:rFonts w:ascii="Arial" w:hAnsi="Arial" w:cs="Arial"/>
                <w:b/>
                <w:sz w:val="17"/>
                <w:szCs w:val="17"/>
              </w:rPr>
              <w:t xml:space="preserve"> 4,472,684,688 </w:t>
            </w:r>
          </w:p>
        </w:tc>
      </w:tr>
    </w:tbl>
    <w:p w:rsidR="00F71E5C" w:rsidRPr="00BA272D" w:rsidRDefault="00F71E5C" w:rsidP="00F56C5A">
      <w:pPr>
        <w:spacing w:before="80" w:line="250" w:lineRule="exact"/>
        <w:ind w:left="284" w:right="-1559"/>
        <w:jc w:val="right"/>
        <w:rPr>
          <w:rFonts w:ascii="Arial" w:hAnsi="Arial" w:cs="Arial"/>
          <w:sz w:val="17"/>
          <w:szCs w:val="17"/>
        </w:rPr>
      </w:pPr>
    </w:p>
    <w:p w:rsidR="00F71E5C" w:rsidRPr="00BA272D" w:rsidRDefault="00B44D15" w:rsidP="00F56C5A">
      <w:pPr>
        <w:spacing w:before="80" w:line="250" w:lineRule="exact"/>
        <w:ind w:left="284" w:right="-1559"/>
        <w:jc w:val="both"/>
        <w:rPr>
          <w:rFonts w:ascii="Arial" w:eastAsia="Calibri" w:hAnsi="Arial" w:cs="Arial"/>
          <w:spacing w:val="-1"/>
          <w:sz w:val="17"/>
          <w:szCs w:val="17"/>
        </w:rPr>
      </w:pPr>
      <w:r w:rsidRPr="00BA272D">
        <w:rPr>
          <w:rFonts w:ascii="Arial" w:eastAsia="Calibri" w:hAnsi="Arial" w:cs="Arial"/>
          <w:spacing w:val="-1"/>
          <w:sz w:val="17"/>
          <w:szCs w:val="17"/>
        </w:rPr>
        <w:t xml:space="preserve">Se presenta un decremento del </w:t>
      </w:r>
      <w:r w:rsidR="00F65C9A" w:rsidRPr="00BA272D">
        <w:rPr>
          <w:rFonts w:ascii="Arial" w:eastAsia="Calibri" w:hAnsi="Arial" w:cs="Arial"/>
          <w:spacing w:val="-1"/>
          <w:sz w:val="17"/>
          <w:szCs w:val="17"/>
        </w:rPr>
        <w:t>15</w:t>
      </w:r>
      <w:r w:rsidR="00F71E5C" w:rsidRPr="00BA272D">
        <w:rPr>
          <w:rFonts w:ascii="Arial" w:eastAsia="Calibri" w:hAnsi="Arial" w:cs="Arial"/>
          <w:spacing w:val="-1"/>
          <w:sz w:val="17"/>
          <w:szCs w:val="17"/>
        </w:rPr>
        <w:t>% en el rubro de efectivo y equivalentes derivado principalmente de</w:t>
      </w:r>
      <w:r w:rsidR="003C0C89" w:rsidRPr="00BA272D">
        <w:rPr>
          <w:rFonts w:ascii="Arial" w:eastAsia="Calibri" w:hAnsi="Arial" w:cs="Arial"/>
          <w:spacing w:val="-1"/>
          <w:sz w:val="17"/>
          <w:szCs w:val="17"/>
        </w:rPr>
        <w:t xml:space="preserve"> </w:t>
      </w:r>
      <w:r w:rsidR="00F71E5C" w:rsidRPr="00BA272D">
        <w:rPr>
          <w:rFonts w:ascii="Arial" w:eastAsia="Calibri" w:hAnsi="Arial" w:cs="Arial"/>
          <w:spacing w:val="-1"/>
          <w:sz w:val="17"/>
          <w:szCs w:val="17"/>
        </w:rPr>
        <w:t>l</w:t>
      </w:r>
      <w:r w:rsidR="003C0C89" w:rsidRPr="00BA272D">
        <w:rPr>
          <w:rFonts w:ascii="Arial" w:eastAsia="Calibri" w:hAnsi="Arial" w:cs="Arial"/>
          <w:spacing w:val="-1"/>
          <w:sz w:val="17"/>
          <w:szCs w:val="17"/>
        </w:rPr>
        <w:t>a disminución</w:t>
      </w:r>
      <w:r w:rsidR="00F71E5C" w:rsidRPr="00BA272D">
        <w:rPr>
          <w:rFonts w:ascii="Arial" w:eastAsia="Calibri" w:hAnsi="Arial" w:cs="Arial"/>
          <w:spacing w:val="-1"/>
          <w:sz w:val="17"/>
          <w:szCs w:val="17"/>
        </w:rPr>
        <w:t xml:space="preserve"> en la cuenta de Bancos/Tesorería.</w:t>
      </w:r>
    </w:p>
    <w:p w:rsidR="00207EA6" w:rsidRPr="00BA272D" w:rsidRDefault="006B6DDC" w:rsidP="00F56C5A">
      <w:pPr>
        <w:spacing w:before="80" w:line="250" w:lineRule="exact"/>
        <w:ind w:left="284" w:right="-1559"/>
        <w:jc w:val="both"/>
        <w:rPr>
          <w:rFonts w:ascii="Arial" w:eastAsia="Calibri" w:hAnsi="Arial" w:cs="Arial"/>
          <w:spacing w:val="-1"/>
          <w:sz w:val="17"/>
          <w:szCs w:val="17"/>
        </w:rPr>
      </w:pPr>
      <w:r>
        <w:rPr>
          <w:rFonts w:ascii="Arial" w:eastAsia="Calibri" w:hAnsi="Arial" w:cs="Arial"/>
          <w:spacing w:val="-1"/>
          <w:sz w:val="17"/>
          <w:szCs w:val="17"/>
        </w:rPr>
        <w:t>Se</w:t>
      </w:r>
      <w:r w:rsidR="00207EA6">
        <w:rPr>
          <w:rFonts w:ascii="Arial" w:eastAsia="Calibri" w:hAnsi="Arial" w:cs="Arial"/>
          <w:spacing w:val="-1"/>
          <w:sz w:val="17"/>
          <w:szCs w:val="17"/>
        </w:rPr>
        <w:t xml:space="preserve"> informa la cancelación de </w:t>
      </w:r>
      <w:r w:rsidR="0039158F">
        <w:rPr>
          <w:rFonts w:ascii="Arial" w:eastAsia="Calibri" w:hAnsi="Arial" w:cs="Arial"/>
          <w:spacing w:val="-1"/>
          <w:sz w:val="17"/>
          <w:szCs w:val="17"/>
        </w:rPr>
        <w:t>4</w:t>
      </w:r>
      <w:r w:rsidR="00207EA6">
        <w:rPr>
          <w:rFonts w:ascii="Arial" w:eastAsia="Calibri" w:hAnsi="Arial" w:cs="Arial"/>
          <w:spacing w:val="-1"/>
          <w:sz w:val="17"/>
          <w:szCs w:val="17"/>
        </w:rPr>
        <w:t xml:space="preserve"> cuentas bancarias </w:t>
      </w:r>
      <w:r w:rsidR="00AC1980">
        <w:rPr>
          <w:rFonts w:ascii="Arial" w:eastAsia="Calibri" w:hAnsi="Arial" w:cs="Arial"/>
          <w:spacing w:val="-1"/>
          <w:sz w:val="17"/>
          <w:szCs w:val="17"/>
        </w:rPr>
        <w:t xml:space="preserve">correspondientes a recursos federales </w:t>
      </w:r>
      <w:r w:rsidR="0039158F">
        <w:rPr>
          <w:rFonts w:ascii="Arial" w:eastAsia="Calibri" w:hAnsi="Arial" w:cs="Arial"/>
          <w:spacing w:val="-1"/>
          <w:sz w:val="17"/>
          <w:szCs w:val="17"/>
        </w:rPr>
        <w:t>por terminación de los proyectos.</w:t>
      </w:r>
    </w:p>
    <w:p w:rsidR="00F71E5C" w:rsidRPr="00BA272D" w:rsidRDefault="00F71E5C" w:rsidP="00F71E5C">
      <w:pPr>
        <w:spacing w:before="80" w:line="250" w:lineRule="exact"/>
        <w:ind w:left="709"/>
        <w:jc w:val="both"/>
        <w:rPr>
          <w:rFonts w:ascii="Arial" w:eastAsia="Calibri" w:hAnsi="Arial" w:cs="Arial"/>
          <w:spacing w:val="-1"/>
          <w:sz w:val="17"/>
          <w:szCs w:val="17"/>
        </w:rPr>
      </w:pPr>
    </w:p>
    <w:p w:rsidR="006B6DDC" w:rsidRDefault="006B6DDC" w:rsidP="00F71E5C">
      <w:pPr>
        <w:spacing w:before="80" w:line="250" w:lineRule="exact"/>
        <w:ind w:firstLine="709"/>
        <w:jc w:val="both"/>
        <w:rPr>
          <w:rFonts w:ascii="Arial" w:eastAsia="Calibri" w:hAnsi="Arial" w:cs="Arial"/>
          <w:spacing w:val="-1"/>
          <w:sz w:val="17"/>
          <w:szCs w:val="17"/>
        </w:rPr>
      </w:pPr>
    </w:p>
    <w:p w:rsidR="00F71E5C" w:rsidRPr="00BA272D" w:rsidRDefault="00F71E5C" w:rsidP="00F71E5C">
      <w:pPr>
        <w:spacing w:before="80" w:line="250" w:lineRule="exact"/>
        <w:ind w:firstLine="709"/>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Asimismo, se informa el tipo, el monto y el plazo de las inversiones temporales menores a tres meses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autoSpaceDE w:val="0"/>
        <w:autoSpaceDN w:val="0"/>
        <w:adjustRightInd w:val="0"/>
        <w:spacing w:before="24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11440" w:type="dxa"/>
        <w:tblInd w:w="1059" w:type="dxa"/>
        <w:tblCellMar>
          <w:left w:w="70" w:type="dxa"/>
          <w:right w:w="70" w:type="dxa"/>
        </w:tblCellMar>
        <w:tblLook w:val="04A0" w:firstRow="1" w:lastRow="0" w:firstColumn="1" w:lastColumn="0" w:noHBand="0" w:noVBand="1"/>
      </w:tblPr>
      <w:tblGrid>
        <w:gridCol w:w="4900"/>
        <w:gridCol w:w="2180"/>
        <w:gridCol w:w="2180"/>
        <w:gridCol w:w="2180"/>
      </w:tblGrid>
      <w:tr w:rsidR="00F71E5C"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Plazo</w:t>
            </w:r>
          </w:p>
        </w:tc>
      </w:tr>
      <w:tr w:rsidR="00F65C9A" w:rsidRPr="00BA272D" w:rsidTr="00F56C5A">
        <w:trPr>
          <w:trHeight w:val="240"/>
        </w:trPr>
        <w:tc>
          <w:tcPr>
            <w:tcW w:w="4900" w:type="dxa"/>
            <w:tcBorders>
              <w:top w:val="nil"/>
              <w:left w:val="single" w:sz="4" w:space="0" w:color="auto"/>
              <w:bottom w:val="single" w:sz="4" w:space="0" w:color="auto"/>
              <w:right w:val="single" w:sz="4" w:space="0" w:color="auto"/>
            </w:tcBorders>
            <w:shd w:val="clear" w:color="auto" w:fill="auto"/>
          </w:tcPr>
          <w:p w:rsidR="00F65C9A" w:rsidRPr="00BA272D" w:rsidRDefault="00F65C9A" w:rsidP="00F65C9A">
            <w:pPr>
              <w:rPr>
                <w:rFonts w:ascii="Arial" w:hAnsi="Arial" w:cs="Arial"/>
                <w:sz w:val="17"/>
                <w:szCs w:val="17"/>
              </w:rPr>
            </w:pPr>
            <w:r w:rsidRPr="00BA272D">
              <w:rPr>
                <w:rFonts w:ascii="Arial" w:hAnsi="Arial" w:cs="Arial"/>
                <w:sz w:val="17"/>
                <w:szCs w:val="17"/>
              </w:rPr>
              <w:t>BSI 98091033 GEQ</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center"/>
              <w:rPr>
                <w:rFonts w:ascii="Arial" w:hAnsi="Arial" w:cs="Arial"/>
                <w:bCs/>
                <w:color w:val="000000"/>
                <w:sz w:val="17"/>
                <w:szCs w:val="17"/>
              </w:rPr>
            </w:pPr>
            <w:r w:rsidRPr="00BA272D">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right"/>
              <w:rPr>
                <w:rFonts w:ascii="Arial" w:hAnsi="Arial" w:cs="Arial"/>
                <w:sz w:val="17"/>
                <w:szCs w:val="17"/>
              </w:rPr>
            </w:pPr>
            <w:r w:rsidRPr="00BA272D">
              <w:rPr>
                <w:rFonts w:ascii="Arial" w:hAnsi="Arial" w:cs="Arial"/>
                <w:sz w:val="17"/>
                <w:szCs w:val="17"/>
              </w:rPr>
              <w:t xml:space="preserve"> 1,892,976 </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center"/>
              <w:rPr>
                <w:rFonts w:ascii="Arial" w:hAnsi="Arial" w:cs="Arial"/>
                <w:bCs/>
                <w:color w:val="000000"/>
                <w:sz w:val="17"/>
                <w:szCs w:val="17"/>
              </w:rPr>
            </w:pPr>
            <w:r w:rsidRPr="00BA272D">
              <w:rPr>
                <w:rFonts w:ascii="Arial" w:hAnsi="Arial" w:cs="Arial"/>
                <w:bCs/>
                <w:color w:val="000000"/>
                <w:sz w:val="17"/>
                <w:szCs w:val="17"/>
              </w:rPr>
              <w:t>31 días</w:t>
            </w:r>
          </w:p>
        </w:tc>
      </w:tr>
      <w:tr w:rsidR="00F65C9A" w:rsidRPr="00BA272D" w:rsidTr="00F56C5A">
        <w:trPr>
          <w:trHeight w:val="240"/>
        </w:trPr>
        <w:tc>
          <w:tcPr>
            <w:tcW w:w="4900" w:type="dxa"/>
            <w:tcBorders>
              <w:top w:val="nil"/>
              <w:left w:val="single" w:sz="4" w:space="0" w:color="auto"/>
              <w:bottom w:val="single" w:sz="4" w:space="0" w:color="auto"/>
              <w:right w:val="single" w:sz="4" w:space="0" w:color="auto"/>
            </w:tcBorders>
            <w:shd w:val="clear" w:color="auto" w:fill="auto"/>
          </w:tcPr>
          <w:p w:rsidR="00F65C9A" w:rsidRPr="00BA272D" w:rsidRDefault="00F65C9A" w:rsidP="00F65C9A">
            <w:pPr>
              <w:rPr>
                <w:rFonts w:ascii="Arial" w:hAnsi="Arial" w:cs="Arial"/>
                <w:sz w:val="17"/>
                <w:szCs w:val="17"/>
              </w:rPr>
            </w:pPr>
            <w:r w:rsidRPr="00BA272D">
              <w:rPr>
                <w:rFonts w:ascii="Arial" w:hAnsi="Arial" w:cs="Arial"/>
                <w:sz w:val="17"/>
                <w:szCs w:val="17"/>
              </w:rPr>
              <w:t>VTR 533913 RESERVA ACTUARIAL</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center"/>
              <w:rPr>
                <w:rFonts w:ascii="Arial" w:hAnsi="Arial" w:cs="Arial"/>
                <w:bCs/>
                <w:color w:val="000000"/>
                <w:sz w:val="17"/>
                <w:szCs w:val="17"/>
              </w:rPr>
            </w:pPr>
            <w:r w:rsidRPr="00BA272D">
              <w:rPr>
                <w:rFonts w:ascii="Arial" w:hAnsi="Arial" w:cs="Arial"/>
                <w:bCs/>
                <w:color w:val="000000"/>
                <w:sz w:val="17"/>
                <w:szCs w:val="17"/>
              </w:rPr>
              <w:t xml:space="preserve"> Inversión </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right"/>
              <w:rPr>
                <w:rFonts w:ascii="Arial" w:hAnsi="Arial" w:cs="Arial"/>
                <w:sz w:val="17"/>
                <w:szCs w:val="17"/>
              </w:rPr>
            </w:pPr>
            <w:r w:rsidRPr="00BA272D">
              <w:rPr>
                <w:rFonts w:ascii="Arial" w:hAnsi="Arial" w:cs="Arial"/>
                <w:sz w:val="17"/>
                <w:szCs w:val="17"/>
              </w:rPr>
              <w:t xml:space="preserve"> 651,725,840 </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center"/>
              <w:rPr>
                <w:rFonts w:ascii="Arial" w:hAnsi="Arial" w:cs="Arial"/>
                <w:sz w:val="17"/>
                <w:szCs w:val="17"/>
              </w:rPr>
            </w:pPr>
            <w:r w:rsidRPr="00BA272D">
              <w:rPr>
                <w:rFonts w:ascii="Arial" w:hAnsi="Arial" w:cs="Arial"/>
                <w:bCs/>
                <w:color w:val="000000"/>
                <w:sz w:val="17"/>
                <w:szCs w:val="17"/>
              </w:rPr>
              <w:t>31 días</w:t>
            </w:r>
          </w:p>
        </w:tc>
      </w:tr>
      <w:tr w:rsidR="00F65C9A" w:rsidRPr="00BA272D" w:rsidTr="00BA6C68">
        <w:trPr>
          <w:trHeight w:val="240"/>
        </w:trPr>
        <w:tc>
          <w:tcPr>
            <w:tcW w:w="4900" w:type="dxa"/>
            <w:tcBorders>
              <w:top w:val="nil"/>
              <w:left w:val="single" w:sz="4" w:space="0" w:color="auto"/>
              <w:bottom w:val="single" w:sz="4" w:space="0" w:color="auto"/>
              <w:right w:val="single" w:sz="4" w:space="0" w:color="auto"/>
            </w:tcBorders>
            <w:shd w:val="clear" w:color="auto" w:fill="auto"/>
          </w:tcPr>
          <w:p w:rsidR="00F65C9A" w:rsidRPr="00BA272D" w:rsidRDefault="00F65C9A" w:rsidP="00F65C9A">
            <w:pPr>
              <w:rPr>
                <w:rFonts w:ascii="Arial" w:hAnsi="Arial" w:cs="Arial"/>
                <w:sz w:val="17"/>
                <w:szCs w:val="17"/>
              </w:rPr>
            </w:pPr>
            <w:r w:rsidRPr="00BA272D">
              <w:rPr>
                <w:rFonts w:ascii="Arial" w:hAnsi="Arial" w:cs="Arial"/>
                <w:sz w:val="17"/>
                <w:szCs w:val="17"/>
              </w:rPr>
              <w:t>VLE 245453 VALUE CASA DE BOLSA</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center"/>
              <w:rPr>
                <w:rFonts w:ascii="Arial" w:hAnsi="Arial" w:cs="Arial"/>
                <w:bCs/>
                <w:color w:val="000000"/>
                <w:sz w:val="17"/>
                <w:szCs w:val="17"/>
              </w:rPr>
            </w:pPr>
            <w:r w:rsidRPr="00BA272D">
              <w:rPr>
                <w:rFonts w:ascii="Arial" w:hAnsi="Arial" w:cs="Arial"/>
                <w:bCs/>
                <w:color w:val="000000"/>
                <w:sz w:val="17"/>
                <w:szCs w:val="17"/>
              </w:rPr>
              <w:t>Inversión</w:t>
            </w:r>
          </w:p>
        </w:tc>
        <w:tc>
          <w:tcPr>
            <w:tcW w:w="2180" w:type="dxa"/>
            <w:tcBorders>
              <w:top w:val="nil"/>
              <w:left w:val="nil"/>
              <w:bottom w:val="single" w:sz="4" w:space="0" w:color="auto"/>
              <w:right w:val="single" w:sz="4" w:space="0" w:color="auto"/>
            </w:tcBorders>
            <w:shd w:val="clear" w:color="auto" w:fill="auto"/>
          </w:tcPr>
          <w:p w:rsidR="00F65C9A" w:rsidRPr="00BA272D" w:rsidRDefault="00F65C9A" w:rsidP="00F65C9A">
            <w:pPr>
              <w:jc w:val="right"/>
              <w:rPr>
                <w:rFonts w:ascii="Arial" w:hAnsi="Arial" w:cs="Arial"/>
                <w:sz w:val="17"/>
                <w:szCs w:val="17"/>
              </w:rPr>
            </w:pPr>
            <w:r w:rsidRPr="00BA272D">
              <w:rPr>
                <w:rFonts w:ascii="Arial" w:hAnsi="Arial" w:cs="Arial"/>
                <w:sz w:val="17"/>
                <w:szCs w:val="17"/>
              </w:rPr>
              <w:t xml:space="preserve"> 266,370,055 </w:t>
            </w:r>
          </w:p>
        </w:tc>
        <w:tc>
          <w:tcPr>
            <w:tcW w:w="2180" w:type="dxa"/>
            <w:tcBorders>
              <w:top w:val="nil"/>
              <w:left w:val="nil"/>
              <w:bottom w:val="single" w:sz="4" w:space="0" w:color="auto"/>
              <w:right w:val="single" w:sz="4" w:space="0" w:color="auto"/>
            </w:tcBorders>
            <w:shd w:val="clear" w:color="auto" w:fill="auto"/>
          </w:tcPr>
          <w:p w:rsidR="00F65C9A" w:rsidRPr="00BA272D" w:rsidRDefault="00DA6BF8" w:rsidP="00F65C9A">
            <w:pPr>
              <w:jc w:val="center"/>
              <w:rPr>
                <w:rFonts w:ascii="Arial" w:hAnsi="Arial" w:cs="Arial"/>
                <w:bCs/>
                <w:color w:val="000000"/>
                <w:sz w:val="17"/>
                <w:szCs w:val="17"/>
              </w:rPr>
            </w:pPr>
            <w:r w:rsidRPr="001D1221">
              <w:rPr>
                <w:rFonts w:ascii="Arial" w:hAnsi="Arial" w:cs="Arial"/>
                <w:bCs/>
                <w:color w:val="000000"/>
                <w:sz w:val="17"/>
                <w:szCs w:val="17"/>
              </w:rPr>
              <w:t>7</w:t>
            </w:r>
            <w:r w:rsidR="00F65C9A" w:rsidRPr="001D1221">
              <w:rPr>
                <w:rFonts w:ascii="Arial" w:hAnsi="Arial" w:cs="Arial"/>
                <w:bCs/>
                <w:color w:val="000000"/>
                <w:sz w:val="17"/>
                <w:szCs w:val="17"/>
              </w:rPr>
              <w:t xml:space="preserve"> días</w:t>
            </w:r>
          </w:p>
        </w:tc>
      </w:tr>
      <w:tr w:rsidR="00F71E5C" w:rsidRPr="00F56C5A"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F56C5A" w:rsidRDefault="00F71E5C" w:rsidP="00F71E5C">
            <w:pPr>
              <w:jc w:val="center"/>
              <w:rPr>
                <w:rFonts w:ascii="Arial" w:hAnsi="Arial" w:cs="Arial"/>
                <w:b/>
                <w:bCs/>
                <w:color w:val="000000"/>
                <w:sz w:val="17"/>
                <w:szCs w:val="17"/>
              </w:rPr>
            </w:pPr>
            <w:r w:rsidRPr="00F56C5A">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F56C5A" w:rsidRDefault="00F71E5C" w:rsidP="00F71E5C">
            <w:pPr>
              <w:jc w:val="center"/>
              <w:rPr>
                <w:rFonts w:ascii="Arial" w:hAnsi="Arial" w:cs="Arial"/>
                <w:b/>
                <w:bCs/>
                <w:color w:val="000000"/>
                <w:sz w:val="17"/>
                <w:szCs w:val="17"/>
              </w:rPr>
            </w:pPr>
            <w:r w:rsidRPr="00F56C5A">
              <w:rPr>
                <w:rFonts w:ascii="Arial" w:hAnsi="Arial" w:cs="Arial"/>
                <w:b/>
                <w:bCs/>
                <w:color w:val="000000"/>
                <w:sz w:val="17"/>
                <w:szCs w:val="17"/>
              </w:rPr>
              <w:t>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1E5C" w:rsidRPr="00F56C5A" w:rsidRDefault="00F65C9A" w:rsidP="001D1221">
            <w:pPr>
              <w:jc w:val="right"/>
              <w:rPr>
                <w:rFonts w:ascii="Arial" w:hAnsi="Arial" w:cs="Arial"/>
                <w:b/>
                <w:bCs/>
                <w:color w:val="000000"/>
                <w:sz w:val="17"/>
                <w:szCs w:val="17"/>
              </w:rPr>
            </w:pPr>
            <w:r w:rsidRPr="00F56C5A">
              <w:rPr>
                <w:rFonts w:ascii="Arial" w:hAnsi="Arial" w:cs="Arial"/>
                <w:b/>
                <w:bCs/>
                <w:color w:val="000000"/>
                <w:sz w:val="17"/>
                <w:szCs w:val="17"/>
              </w:rPr>
              <w:t>919,988,871</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F56C5A" w:rsidRDefault="00F71E5C" w:rsidP="00F56C5A">
            <w:pPr>
              <w:jc w:val="center"/>
              <w:rPr>
                <w:rFonts w:ascii="Arial" w:hAnsi="Arial" w:cs="Arial"/>
                <w:b/>
                <w:bCs/>
                <w:color w:val="000000"/>
                <w:sz w:val="17"/>
                <w:szCs w:val="17"/>
              </w:rPr>
            </w:pPr>
            <w:r w:rsidRPr="00F56C5A">
              <w:rPr>
                <w:rFonts w:ascii="Arial" w:hAnsi="Arial" w:cs="Arial"/>
                <w:b/>
                <w:bCs/>
                <w:color w:val="000000"/>
                <w:sz w:val="17"/>
                <w:szCs w:val="17"/>
              </w:rPr>
              <w:t> </w:t>
            </w:r>
          </w:p>
        </w:tc>
      </w:tr>
    </w:tbl>
    <w:p w:rsidR="00F71E5C" w:rsidRPr="00BA272D" w:rsidRDefault="00F71E5C" w:rsidP="00F71E5C">
      <w:pPr>
        <w:spacing w:before="120" w:after="120" w:line="240" w:lineRule="exact"/>
        <w:jc w:val="both"/>
        <w:rPr>
          <w:rFonts w:ascii="Arial" w:eastAsia="Calibri" w:hAnsi="Arial" w:cs="Arial"/>
          <w:b/>
          <w:spacing w:val="-1"/>
          <w:sz w:val="17"/>
          <w:szCs w:val="17"/>
        </w:rPr>
      </w:pPr>
    </w:p>
    <w:p w:rsidR="00F71E5C" w:rsidRPr="00BA272D" w:rsidRDefault="00F71E5C" w:rsidP="00BA6C68">
      <w:pPr>
        <w:pStyle w:val="Prrafodelista"/>
        <w:numPr>
          <w:ilvl w:val="0"/>
          <w:numId w:val="8"/>
        </w:numPr>
        <w:spacing w:before="80" w:line="250" w:lineRule="exact"/>
        <w:ind w:left="709" w:right="-1559" w:firstLine="0"/>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t>Derechos a recibir efectivo y equivalentes y bienes o servicios a recibir:</w:t>
      </w:r>
    </w:p>
    <w:p w:rsidR="00F71E5C" w:rsidRPr="003822F9" w:rsidRDefault="00F71E5C" w:rsidP="00BA6C68">
      <w:pPr>
        <w:pStyle w:val="Prrafodelista"/>
        <w:spacing w:before="80" w:line="250" w:lineRule="exact"/>
        <w:ind w:left="709" w:right="-1559"/>
        <w:contextualSpacing w:val="0"/>
        <w:jc w:val="both"/>
        <w:rPr>
          <w:rFonts w:ascii="Arial" w:eastAsia="Calibri" w:hAnsi="Arial" w:cs="Arial"/>
          <w:b/>
          <w:spacing w:val="-1"/>
          <w:sz w:val="17"/>
          <w:szCs w:val="17"/>
        </w:rPr>
      </w:pPr>
    </w:p>
    <w:p w:rsidR="00F71E5C" w:rsidRPr="00BA272D" w:rsidRDefault="00F71E5C" w:rsidP="00BA6C68">
      <w:pPr>
        <w:spacing w:before="80" w:line="250" w:lineRule="exact"/>
        <w:ind w:left="709" w:right="-1559"/>
        <w:jc w:val="both"/>
        <w:rPr>
          <w:rFonts w:ascii="Arial" w:eastAsia="Calibri" w:hAnsi="Arial" w:cs="Arial"/>
          <w:spacing w:val="-1"/>
          <w:sz w:val="17"/>
          <w:szCs w:val="17"/>
        </w:rPr>
      </w:pPr>
      <w:r w:rsidRPr="003822F9">
        <w:rPr>
          <w:rFonts w:ascii="Arial" w:eastAsia="Calibri" w:hAnsi="Arial" w:cs="Arial"/>
          <w:spacing w:val="-1"/>
          <w:sz w:val="17"/>
          <w:szCs w:val="17"/>
        </w:rPr>
        <w:t>En este</w:t>
      </w:r>
      <w:r w:rsidRPr="00BA272D">
        <w:rPr>
          <w:rFonts w:ascii="Arial" w:eastAsia="Calibri" w:hAnsi="Arial" w:cs="Arial"/>
          <w:spacing w:val="-1"/>
          <w:sz w:val="17"/>
          <w:szCs w:val="17"/>
        </w:rPr>
        <w:t xml:space="preserve"> apartado se informa la integración del rubro Derechos a Recibir Efectivo o Equivalentes del Poder Ejecutivo del Estado de Querétaro:</w:t>
      </w:r>
    </w:p>
    <w:p w:rsidR="00F71E5C" w:rsidRPr="00BA272D" w:rsidRDefault="00F71E5C" w:rsidP="00F71E5C">
      <w:pPr>
        <w:pStyle w:val="Prrafodelista"/>
        <w:autoSpaceDE w:val="0"/>
        <w:autoSpaceDN w:val="0"/>
        <w:adjustRightInd w:val="0"/>
        <w:spacing w:before="24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76ACB" w:rsidRPr="00BA272D" w:rsidTr="00BA6C68">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9,923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45,938,980 </w:t>
            </w:r>
          </w:p>
        </w:tc>
      </w:tr>
      <w:tr w:rsidR="00D76ACB" w:rsidRPr="00BA272D" w:rsidTr="00BA6C68">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1,709,591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1,563,118 </w:t>
            </w:r>
          </w:p>
        </w:tc>
      </w:tr>
      <w:tr w:rsidR="00D76ACB" w:rsidRPr="00BA272D" w:rsidTr="00BA6C68">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4,378,301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3,358,259 </w:t>
            </w:r>
          </w:p>
        </w:tc>
      </w:tr>
      <w:tr w:rsidR="00D76ACB" w:rsidRPr="002D1306"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6ACB" w:rsidRPr="003822F9" w:rsidRDefault="00D76ACB" w:rsidP="00F56C5A">
            <w:pPr>
              <w:ind w:right="-567"/>
              <w:jc w:val="center"/>
              <w:rPr>
                <w:rFonts w:ascii="Arial" w:hAnsi="Arial" w:cs="Arial"/>
                <w:b/>
                <w:bCs/>
                <w:color w:val="000000"/>
                <w:sz w:val="17"/>
                <w:szCs w:val="17"/>
              </w:rPr>
            </w:pPr>
            <w:r w:rsidRPr="003822F9">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nil"/>
            </w:tcBorders>
            <w:shd w:val="clear" w:color="auto" w:fill="BFBFBF" w:themeFill="background1" w:themeFillShade="BF"/>
            <w:hideMark/>
          </w:tcPr>
          <w:p w:rsidR="00D76ACB" w:rsidRPr="003822F9" w:rsidRDefault="00D76ACB" w:rsidP="001D1221">
            <w:pPr>
              <w:ind w:right="-567"/>
              <w:jc w:val="right"/>
              <w:rPr>
                <w:rFonts w:ascii="Arial" w:hAnsi="Arial" w:cs="Arial"/>
                <w:b/>
                <w:sz w:val="17"/>
                <w:szCs w:val="17"/>
              </w:rPr>
            </w:pPr>
            <w:r w:rsidRPr="003822F9">
              <w:rPr>
                <w:rFonts w:ascii="Arial" w:hAnsi="Arial" w:cs="Arial"/>
                <w:b/>
                <w:sz w:val="17"/>
                <w:szCs w:val="17"/>
              </w:rPr>
              <w:t xml:space="preserve"> 6,</w:t>
            </w:r>
            <w:r w:rsidR="003822F9" w:rsidRPr="003822F9">
              <w:rPr>
                <w:rFonts w:ascii="Arial" w:hAnsi="Arial" w:cs="Arial"/>
                <w:b/>
                <w:sz w:val="17"/>
                <w:szCs w:val="17"/>
              </w:rPr>
              <w:t>097,815</w:t>
            </w:r>
            <w:r w:rsidRPr="003822F9">
              <w:rPr>
                <w:rFonts w:ascii="Arial" w:hAnsi="Arial" w:cs="Arial"/>
                <w:b/>
                <w:sz w:val="17"/>
                <w:szCs w:val="17"/>
              </w:rPr>
              <w:t xml:space="preserve">97,816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6ACB" w:rsidRPr="003822F9" w:rsidRDefault="00D76ACB" w:rsidP="002D1306">
            <w:pPr>
              <w:ind w:right="-567"/>
              <w:jc w:val="right"/>
              <w:rPr>
                <w:rFonts w:ascii="Arial" w:hAnsi="Arial" w:cs="Arial"/>
                <w:b/>
                <w:sz w:val="17"/>
                <w:szCs w:val="17"/>
              </w:rPr>
            </w:pPr>
            <w:r w:rsidRPr="003822F9">
              <w:rPr>
                <w:rFonts w:ascii="Arial" w:hAnsi="Arial" w:cs="Arial"/>
                <w:b/>
                <w:sz w:val="17"/>
                <w:szCs w:val="17"/>
              </w:rPr>
              <w:t xml:space="preserve"> </w:t>
            </w:r>
            <w:r w:rsidR="002D1306" w:rsidRPr="003822F9">
              <w:rPr>
                <w:rFonts w:ascii="Arial" w:hAnsi="Arial" w:cs="Arial"/>
                <w:b/>
                <w:sz w:val="17"/>
                <w:szCs w:val="17"/>
              </w:rPr>
              <w:t xml:space="preserve"> 50,860,357</w:t>
            </w:r>
            <w:r w:rsidRPr="003822F9">
              <w:rPr>
                <w:rFonts w:ascii="Arial" w:hAnsi="Arial" w:cs="Arial"/>
                <w:b/>
                <w:sz w:val="17"/>
                <w:szCs w:val="17"/>
              </w:rPr>
              <w:t xml:space="preserve">60,357 </w:t>
            </w:r>
          </w:p>
        </w:tc>
      </w:tr>
    </w:tbl>
    <w:p w:rsidR="00F71E5C" w:rsidRPr="00BA272D" w:rsidRDefault="00F71E5C" w:rsidP="00F56C5A">
      <w:pPr>
        <w:spacing w:before="80" w:line="250" w:lineRule="exact"/>
        <w:ind w:left="709" w:right="-567"/>
        <w:jc w:val="both"/>
        <w:rPr>
          <w:rFonts w:ascii="Arial" w:eastAsia="Calibri" w:hAnsi="Arial" w:cs="Arial"/>
          <w:spacing w:val="-1"/>
          <w:sz w:val="17"/>
          <w:szCs w:val="17"/>
        </w:rPr>
      </w:pPr>
    </w:p>
    <w:p w:rsidR="00F71E5C" w:rsidRDefault="00B44D15" w:rsidP="003B1811">
      <w:pPr>
        <w:spacing w:before="80" w:line="250" w:lineRule="exact"/>
        <w:ind w:left="709"/>
        <w:jc w:val="both"/>
        <w:rPr>
          <w:rFonts w:ascii="Arial" w:eastAsia="Calibri" w:hAnsi="Arial" w:cs="Arial"/>
          <w:spacing w:val="-1"/>
          <w:sz w:val="17"/>
          <w:szCs w:val="17"/>
        </w:rPr>
      </w:pPr>
      <w:r w:rsidRPr="00BA272D">
        <w:rPr>
          <w:rFonts w:ascii="Arial" w:eastAsia="Calibri" w:hAnsi="Arial" w:cs="Arial"/>
          <w:spacing w:val="-1"/>
          <w:sz w:val="17"/>
          <w:szCs w:val="17"/>
        </w:rPr>
        <w:t>La disminución</w:t>
      </w:r>
      <w:r w:rsidR="00023C4D" w:rsidRPr="00BA272D">
        <w:rPr>
          <w:rFonts w:ascii="Arial" w:eastAsia="Calibri" w:hAnsi="Arial" w:cs="Arial"/>
          <w:spacing w:val="-1"/>
          <w:sz w:val="17"/>
          <w:szCs w:val="17"/>
        </w:rPr>
        <w:t xml:space="preserve"> que se presenta en</w:t>
      </w:r>
      <w:r w:rsidR="00F71E5C" w:rsidRPr="00BA272D">
        <w:rPr>
          <w:rFonts w:ascii="Arial" w:eastAsia="Calibri" w:hAnsi="Arial" w:cs="Arial"/>
          <w:spacing w:val="-1"/>
          <w:sz w:val="17"/>
          <w:szCs w:val="17"/>
        </w:rPr>
        <w:t xml:space="preserve"> Cuentas por Cobrar a Corto Plazo obedece principalmente a la</w:t>
      </w:r>
      <w:r w:rsidRPr="00BA272D">
        <w:rPr>
          <w:rFonts w:ascii="Arial" w:eastAsia="Calibri" w:hAnsi="Arial" w:cs="Arial"/>
          <w:spacing w:val="-1"/>
          <w:sz w:val="17"/>
          <w:szCs w:val="17"/>
        </w:rPr>
        <w:t xml:space="preserve"> reclasificación a</w:t>
      </w:r>
      <w:r w:rsidR="0039158F">
        <w:rPr>
          <w:rFonts w:ascii="Arial" w:eastAsia="Calibri" w:hAnsi="Arial" w:cs="Arial"/>
          <w:spacing w:val="-1"/>
          <w:sz w:val="17"/>
          <w:szCs w:val="17"/>
        </w:rPr>
        <w:t xml:space="preserve"> Cuentas por Cobrar a</w:t>
      </w:r>
      <w:r w:rsidRPr="00BA272D">
        <w:rPr>
          <w:rFonts w:ascii="Arial" w:eastAsia="Calibri" w:hAnsi="Arial" w:cs="Arial"/>
          <w:spacing w:val="-1"/>
          <w:sz w:val="17"/>
          <w:szCs w:val="17"/>
        </w:rPr>
        <w:t xml:space="preserve"> largo </w:t>
      </w:r>
      <w:r w:rsidR="0039158F">
        <w:rPr>
          <w:rFonts w:ascii="Arial" w:eastAsia="Calibri" w:hAnsi="Arial" w:cs="Arial"/>
          <w:spacing w:val="-1"/>
          <w:sz w:val="17"/>
          <w:szCs w:val="17"/>
        </w:rPr>
        <w:t>que corresponde a la Constructora COSS BU S.A de C.V.</w:t>
      </w:r>
    </w:p>
    <w:p w:rsidR="00FA75AA" w:rsidRDefault="00FA75AA" w:rsidP="00E260A2">
      <w:pPr>
        <w:spacing w:before="80" w:line="250" w:lineRule="exact"/>
        <w:ind w:left="709" w:right="-1559"/>
        <w:jc w:val="both"/>
        <w:rPr>
          <w:rFonts w:ascii="Arial" w:eastAsia="Calibri" w:hAnsi="Arial" w:cs="Arial"/>
          <w:spacing w:val="-1"/>
          <w:sz w:val="17"/>
          <w:szCs w:val="17"/>
        </w:rPr>
      </w:pPr>
    </w:p>
    <w:p w:rsidR="00FA75AA" w:rsidRPr="00BA272D" w:rsidRDefault="00FA75AA" w:rsidP="00E260A2">
      <w:pPr>
        <w:spacing w:before="80" w:line="250" w:lineRule="exact"/>
        <w:ind w:left="709" w:right="-1559"/>
        <w:jc w:val="both"/>
        <w:rPr>
          <w:rFonts w:ascii="Arial" w:eastAsia="Calibri" w:hAnsi="Arial" w:cs="Arial"/>
          <w:spacing w:val="-1"/>
          <w:sz w:val="17"/>
          <w:szCs w:val="17"/>
        </w:rPr>
      </w:pPr>
      <w:r>
        <w:rPr>
          <w:rFonts w:ascii="Arial" w:eastAsia="Calibri" w:hAnsi="Arial" w:cs="Arial"/>
          <w:spacing w:val="-1"/>
          <w:sz w:val="17"/>
          <w:szCs w:val="17"/>
        </w:rPr>
        <w:t>La cuenta de Ingresos por Recuperar a Corto Plazo se integra, con las siguientes partidas:</w:t>
      </w:r>
    </w:p>
    <w:p w:rsidR="00F71E5C" w:rsidRPr="00BA272D" w:rsidRDefault="00F71E5C" w:rsidP="00F71E5C">
      <w:pPr>
        <w:spacing w:before="80" w:line="250" w:lineRule="exact"/>
        <w:ind w:left="709"/>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9994" w:type="dxa"/>
        <w:tblInd w:w="1413" w:type="dxa"/>
        <w:tblCellMar>
          <w:left w:w="70" w:type="dxa"/>
          <w:right w:w="70" w:type="dxa"/>
        </w:tblCellMar>
        <w:tblLook w:val="04A0" w:firstRow="1" w:lastRow="0" w:firstColumn="1" w:lastColumn="0" w:noHBand="0" w:noVBand="1"/>
      </w:tblPr>
      <w:tblGrid>
        <w:gridCol w:w="5812"/>
        <w:gridCol w:w="2002"/>
        <w:gridCol w:w="2180"/>
      </w:tblGrid>
      <w:tr w:rsidR="00F71E5C" w:rsidRPr="00BA272D" w:rsidTr="001B2092">
        <w:trPr>
          <w:trHeight w:val="720"/>
        </w:trPr>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Contribución pendiente de cobro y de recuperar hasta por cinco ejercicios:</w:t>
            </w:r>
          </w:p>
        </w:tc>
        <w:tc>
          <w:tcPr>
            <w:tcW w:w="20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Factibilidad de cobro</w:t>
            </w:r>
          </w:p>
        </w:tc>
      </w:tr>
      <w:tr w:rsidR="00F71E5C" w:rsidRPr="00BA272D" w:rsidTr="00527FFC">
        <w:trPr>
          <w:trHeight w:val="240"/>
        </w:trPr>
        <w:tc>
          <w:tcPr>
            <w:tcW w:w="5812" w:type="dxa"/>
            <w:tcBorders>
              <w:top w:val="nil"/>
              <w:left w:val="single" w:sz="4" w:space="0" w:color="auto"/>
              <w:bottom w:val="single" w:sz="4" w:space="0" w:color="auto"/>
              <w:right w:val="single" w:sz="4" w:space="0" w:color="auto"/>
            </w:tcBorders>
            <w:shd w:val="clear" w:color="auto" w:fill="auto"/>
            <w:vAlign w:val="center"/>
          </w:tcPr>
          <w:p w:rsidR="00F71E5C" w:rsidRPr="00BA272D" w:rsidRDefault="00F71E5C" w:rsidP="00F71E5C">
            <w:pPr>
              <w:ind w:left="67"/>
              <w:rPr>
                <w:rFonts w:ascii="Arial" w:hAnsi="Arial" w:cs="Arial"/>
                <w:color w:val="000000"/>
                <w:sz w:val="17"/>
                <w:szCs w:val="17"/>
              </w:rPr>
            </w:pPr>
            <w:r w:rsidRPr="00BA272D">
              <w:rPr>
                <w:rFonts w:ascii="Arial" w:hAnsi="Arial" w:cs="Arial"/>
                <w:color w:val="000000"/>
                <w:sz w:val="17"/>
                <w:szCs w:val="17"/>
              </w:rPr>
              <w:t>Contribuciones pagadas con cheques sin fondos</w:t>
            </w:r>
          </w:p>
        </w:tc>
        <w:tc>
          <w:tcPr>
            <w:tcW w:w="2002" w:type="dxa"/>
            <w:tcBorders>
              <w:top w:val="nil"/>
              <w:left w:val="nil"/>
              <w:bottom w:val="single" w:sz="4" w:space="0" w:color="auto"/>
              <w:right w:val="single" w:sz="4" w:space="0" w:color="auto"/>
            </w:tcBorders>
            <w:shd w:val="clear" w:color="auto" w:fill="auto"/>
          </w:tcPr>
          <w:p w:rsidR="00F71E5C" w:rsidRPr="00BA272D" w:rsidRDefault="00F65C9A" w:rsidP="00F71E5C">
            <w:pPr>
              <w:jc w:val="right"/>
              <w:rPr>
                <w:rFonts w:ascii="Arial" w:hAnsi="Arial" w:cs="Arial"/>
                <w:sz w:val="17"/>
                <w:szCs w:val="17"/>
                <w:highlight w:val="yellow"/>
              </w:rPr>
            </w:pPr>
            <w:r w:rsidRPr="00BA272D">
              <w:rPr>
                <w:rFonts w:ascii="Arial" w:hAnsi="Arial" w:cs="Arial"/>
                <w:sz w:val="17"/>
                <w:szCs w:val="17"/>
              </w:rPr>
              <w:t>660,140</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center"/>
              <w:rPr>
                <w:rFonts w:ascii="Arial" w:hAnsi="Arial" w:cs="Arial"/>
                <w:color w:val="000000"/>
                <w:sz w:val="17"/>
                <w:szCs w:val="17"/>
              </w:rPr>
            </w:pPr>
            <w:r w:rsidRPr="00BA272D">
              <w:rPr>
                <w:rFonts w:ascii="Arial" w:hAnsi="Arial" w:cs="Arial"/>
                <w:color w:val="000000"/>
                <w:sz w:val="17"/>
                <w:szCs w:val="17"/>
              </w:rPr>
              <w:t>70 por ciento</w:t>
            </w:r>
          </w:p>
        </w:tc>
      </w:tr>
      <w:tr w:rsidR="00F71E5C" w:rsidRPr="00BA272D" w:rsidTr="00527FFC">
        <w:trPr>
          <w:trHeight w:val="240"/>
        </w:trPr>
        <w:tc>
          <w:tcPr>
            <w:tcW w:w="5812" w:type="dxa"/>
            <w:tcBorders>
              <w:top w:val="nil"/>
              <w:left w:val="single" w:sz="4" w:space="0" w:color="auto"/>
              <w:bottom w:val="single" w:sz="4" w:space="0" w:color="auto"/>
              <w:right w:val="single" w:sz="4" w:space="0" w:color="auto"/>
            </w:tcBorders>
            <w:shd w:val="clear" w:color="auto" w:fill="auto"/>
            <w:vAlign w:val="center"/>
          </w:tcPr>
          <w:p w:rsidR="00F71E5C" w:rsidRPr="00BA272D" w:rsidRDefault="003C0C89" w:rsidP="003C0C89">
            <w:pPr>
              <w:ind w:left="67"/>
              <w:rPr>
                <w:rFonts w:ascii="Arial" w:hAnsi="Arial" w:cs="Arial"/>
                <w:color w:val="000000"/>
                <w:sz w:val="17"/>
                <w:szCs w:val="17"/>
              </w:rPr>
            </w:pPr>
            <w:r w:rsidRPr="00BA272D">
              <w:rPr>
                <w:rFonts w:ascii="Arial" w:hAnsi="Arial" w:cs="Arial"/>
                <w:color w:val="000000"/>
                <w:sz w:val="17"/>
                <w:szCs w:val="17"/>
              </w:rPr>
              <w:t>Contribuciones cobradas OXXO, ANTAD, SUPER</w:t>
            </w:r>
            <w:r w:rsidR="0012182B" w:rsidRPr="00BA272D">
              <w:rPr>
                <w:rFonts w:ascii="Arial" w:hAnsi="Arial" w:cs="Arial"/>
                <w:color w:val="000000"/>
                <w:sz w:val="17"/>
                <w:szCs w:val="17"/>
              </w:rPr>
              <w:t xml:space="preserve"> </w:t>
            </w:r>
            <w:r w:rsidRPr="00BA272D">
              <w:rPr>
                <w:rFonts w:ascii="Arial" w:hAnsi="Arial" w:cs="Arial"/>
                <w:color w:val="000000"/>
                <w:sz w:val="17"/>
                <w:szCs w:val="17"/>
              </w:rPr>
              <w:t>Q</w:t>
            </w:r>
          </w:p>
        </w:tc>
        <w:tc>
          <w:tcPr>
            <w:tcW w:w="2002" w:type="dxa"/>
            <w:tcBorders>
              <w:top w:val="nil"/>
              <w:left w:val="nil"/>
              <w:bottom w:val="single" w:sz="4" w:space="0" w:color="auto"/>
              <w:right w:val="single" w:sz="4" w:space="0" w:color="auto"/>
            </w:tcBorders>
            <w:shd w:val="clear" w:color="auto" w:fill="auto"/>
          </w:tcPr>
          <w:p w:rsidR="00F71E5C" w:rsidRPr="00BA272D" w:rsidRDefault="00F65C9A" w:rsidP="00023C4D">
            <w:pPr>
              <w:jc w:val="right"/>
              <w:rPr>
                <w:rFonts w:ascii="Arial" w:hAnsi="Arial" w:cs="Arial"/>
                <w:sz w:val="17"/>
                <w:szCs w:val="17"/>
                <w:highlight w:val="yellow"/>
              </w:rPr>
            </w:pPr>
            <w:r w:rsidRPr="00BA272D">
              <w:rPr>
                <w:rFonts w:ascii="Arial" w:hAnsi="Arial" w:cs="Arial"/>
                <w:sz w:val="17"/>
                <w:szCs w:val="17"/>
              </w:rPr>
              <w:t>3,718,161</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center"/>
              <w:rPr>
                <w:rFonts w:ascii="Arial" w:hAnsi="Arial" w:cs="Arial"/>
                <w:color w:val="000000"/>
                <w:sz w:val="17"/>
                <w:szCs w:val="17"/>
              </w:rPr>
            </w:pPr>
            <w:r w:rsidRPr="00BA272D">
              <w:rPr>
                <w:rFonts w:ascii="Arial" w:hAnsi="Arial" w:cs="Arial"/>
                <w:color w:val="000000"/>
                <w:sz w:val="17"/>
                <w:szCs w:val="17"/>
              </w:rPr>
              <w:t>100 por ciento</w:t>
            </w:r>
          </w:p>
        </w:tc>
      </w:tr>
      <w:tr w:rsidR="00F71E5C" w:rsidRPr="00BA272D" w:rsidTr="001B2092">
        <w:trPr>
          <w:trHeight w:val="240"/>
        </w:trPr>
        <w:tc>
          <w:tcPr>
            <w:tcW w:w="581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2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1E5C" w:rsidRPr="00BA272D" w:rsidRDefault="00F65C9A" w:rsidP="00F71E5C">
            <w:pPr>
              <w:jc w:val="right"/>
              <w:rPr>
                <w:rFonts w:ascii="Arial" w:hAnsi="Arial" w:cs="Arial"/>
                <w:b/>
                <w:sz w:val="17"/>
                <w:szCs w:val="17"/>
                <w:highlight w:val="yellow"/>
              </w:rPr>
            </w:pPr>
            <w:r w:rsidRPr="00BA272D">
              <w:rPr>
                <w:rFonts w:ascii="Arial" w:hAnsi="Arial" w:cs="Arial"/>
                <w:b/>
                <w:sz w:val="17"/>
                <w:szCs w:val="17"/>
              </w:rPr>
              <w:t>4,378,301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right"/>
              <w:rPr>
                <w:rFonts w:ascii="Arial" w:hAnsi="Arial" w:cs="Arial"/>
                <w:color w:val="000000"/>
                <w:sz w:val="17"/>
                <w:szCs w:val="17"/>
              </w:rPr>
            </w:pPr>
            <w:r w:rsidRPr="00BA272D">
              <w:rPr>
                <w:rFonts w:ascii="Arial" w:hAnsi="Arial" w:cs="Arial"/>
                <w:color w:val="000000"/>
                <w:sz w:val="17"/>
                <w:szCs w:val="17"/>
              </w:rPr>
              <w:t> </w:t>
            </w:r>
          </w:p>
        </w:tc>
      </w:tr>
    </w:tbl>
    <w:p w:rsidR="00C829E0" w:rsidRDefault="00C829E0" w:rsidP="00864EF4">
      <w:pPr>
        <w:spacing w:before="80" w:line="250" w:lineRule="exact"/>
        <w:ind w:left="709"/>
        <w:jc w:val="both"/>
        <w:rPr>
          <w:rFonts w:ascii="Arial" w:eastAsia="Calibri" w:hAnsi="Arial" w:cs="Arial"/>
          <w:spacing w:val="-1"/>
          <w:sz w:val="17"/>
          <w:szCs w:val="17"/>
        </w:rPr>
      </w:pPr>
    </w:p>
    <w:p w:rsidR="004751E0" w:rsidRDefault="004751E0" w:rsidP="00864EF4">
      <w:pPr>
        <w:spacing w:before="80" w:line="250" w:lineRule="exact"/>
        <w:ind w:left="709"/>
        <w:jc w:val="both"/>
        <w:rPr>
          <w:rFonts w:ascii="Arial" w:eastAsia="Calibri" w:hAnsi="Arial" w:cs="Arial"/>
          <w:spacing w:val="-1"/>
          <w:sz w:val="17"/>
          <w:szCs w:val="17"/>
        </w:rPr>
      </w:pPr>
    </w:p>
    <w:p w:rsidR="004751E0" w:rsidRDefault="004751E0" w:rsidP="00864EF4">
      <w:pPr>
        <w:spacing w:before="80" w:line="250" w:lineRule="exact"/>
        <w:ind w:left="709"/>
        <w:jc w:val="both"/>
        <w:rPr>
          <w:rFonts w:ascii="Arial" w:eastAsia="Calibri" w:hAnsi="Arial" w:cs="Arial"/>
          <w:spacing w:val="-1"/>
          <w:sz w:val="17"/>
          <w:szCs w:val="17"/>
        </w:rPr>
      </w:pPr>
    </w:p>
    <w:p w:rsidR="00FA75AA" w:rsidRDefault="00FA75AA" w:rsidP="00864EF4">
      <w:pPr>
        <w:spacing w:before="80" w:line="250" w:lineRule="exact"/>
        <w:ind w:left="709"/>
        <w:jc w:val="both"/>
        <w:rPr>
          <w:rFonts w:ascii="Arial" w:eastAsia="Calibri" w:hAnsi="Arial" w:cs="Arial"/>
          <w:spacing w:val="-1"/>
          <w:sz w:val="17"/>
          <w:szCs w:val="17"/>
        </w:rPr>
      </w:pPr>
    </w:p>
    <w:p w:rsidR="00F71E5C" w:rsidRPr="00BA272D" w:rsidRDefault="00F71E5C" w:rsidP="00527FFC">
      <w:pPr>
        <w:pStyle w:val="Prrafodelista"/>
        <w:numPr>
          <w:ilvl w:val="0"/>
          <w:numId w:val="8"/>
        </w:numPr>
        <w:spacing w:before="80" w:line="250" w:lineRule="exact"/>
        <w:ind w:left="714" w:right="-1559" w:hanging="5"/>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Derechos a recibir bienes o servicios:</w:t>
      </w:r>
    </w:p>
    <w:p w:rsidR="00F71E5C" w:rsidRPr="00BA272D" w:rsidRDefault="00F71E5C" w:rsidP="00527FFC">
      <w:pPr>
        <w:pStyle w:val="Prrafodelista"/>
        <w:spacing w:before="80" w:line="250" w:lineRule="exact"/>
        <w:ind w:left="714" w:right="-1559" w:hanging="5"/>
        <w:contextualSpacing w:val="0"/>
        <w:jc w:val="both"/>
        <w:rPr>
          <w:rFonts w:ascii="Arial" w:eastAsia="Calibri" w:hAnsi="Arial" w:cs="Arial"/>
          <w:b/>
          <w:spacing w:val="-1"/>
          <w:sz w:val="17"/>
          <w:szCs w:val="17"/>
        </w:rPr>
      </w:pPr>
    </w:p>
    <w:p w:rsidR="00F71E5C" w:rsidRPr="00BA272D" w:rsidRDefault="00F71E5C" w:rsidP="00527FFC">
      <w:pPr>
        <w:spacing w:before="80" w:line="250" w:lineRule="exact"/>
        <w:ind w:left="709" w:right="-1559" w:hanging="5"/>
        <w:jc w:val="both"/>
        <w:rPr>
          <w:rFonts w:ascii="Arial" w:eastAsia="Calibri" w:hAnsi="Arial" w:cs="Arial"/>
          <w:spacing w:val="-1"/>
          <w:sz w:val="17"/>
          <w:szCs w:val="17"/>
        </w:rPr>
      </w:pPr>
      <w:r w:rsidRPr="00BA272D">
        <w:rPr>
          <w:rFonts w:ascii="Arial" w:eastAsia="Calibri" w:hAnsi="Arial" w:cs="Arial"/>
          <w:spacing w:val="-1"/>
          <w:sz w:val="17"/>
          <w:szCs w:val="17"/>
        </w:rPr>
        <w:t>En este apartado se informa la integración del rubro Derechos a recibir bienes o servicios del Poder Ejecutivo del Estado de Querétaro:</w:t>
      </w:r>
    </w:p>
    <w:p w:rsidR="00F71E5C" w:rsidRPr="00BA272D" w:rsidRDefault="00F71E5C" w:rsidP="00F71E5C">
      <w:pPr>
        <w:spacing w:before="80" w:line="250" w:lineRule="exact"/>
        <w:ind w:left="709"/>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76ACB" w:rsidRPr="00BA272D" w:rsidTr="00527FFC">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46,916,418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42,696,310 </w:t>
            </w:r>
          </w:p>
        </w:tc>
      </w:tr>
    </w:tbl>
    <w:p w:rsidR="006B173A" w:rsidRDefault="006B173A" w:rsidP="002F2BAD">
      <w:pPr>
        <w:spacing w:before="80" w:line="250" w:lineRule="exact"/>
        <w:ind w:left="708" w:right="-1559" w:firstLine="1"/>
        <w:jc w:val="both"/>
        <w:rPr>
          <w:rFonts w:ascii="Arial" w:eastAsia="Calibri" w:hAnsi="Arial" w:cs="Arial"/>
          <w:spacing w:val="-1"/>
          <w:sz w:val="17"/>
          <w:szCs w:val="17"/>
        </w:rPr>
      </w:pPr>
    </w:p>
    <w:p w:rsidR="00F71E5C" w:rsidRDefault="00F65C9A" w:rsidP="003B1811">
      <w:pPr>
        <w:spacing w:before="80" w:line="250" w:lineRule="exact"/>
        <w:ind w:left="708" w:firstLine="1"/>
        <w:jc w:val="both"/>
        <w:rPr>
          <w:rFonts w:ascii="Arial" w:eastAsia="Calibri" w:hAnsi="Arial" w:cs="Arial"/>
          <w:spacing w:val="-1"/>
          <w:sz w:val="17"/>
          <w:szCs w:val="17"/>
        </w:rPr>
      </w:pPr>
      <w:r w:rsidRPr="00BA272D">
        <w:rPr>
          <w:rFonts w:ascii="Arial" w:eastAsia="Calibri" w:hAnsi="Arial" w:cs="Arial"/>
          <w:spacing w:val="-1"/>
          <w:sz w:val="17"/>
          <w:szCs w:val="17"/>
        </w:rPr>
        <w:t xml:space="preserve">El saldo que se presenta en la cuenta de </w:t>
      </w:r>
      <w:r w:rsidRPr="00BA272D">
        <w:rPr>
          <w:rFonts w:ascii="Arial" w:hAnsi="Arial" w:cs="Arial"/>
          <w:sz w:val="17"/>
          <w:szCs w:val="17"/>
        </w:rPr>
        <w:t>Anticipo a Contratistas por Obras Públicas a Corto Plazo</w:t>
      </w:r>
      <w:r w:rsidRPr="00BA272D">
        <w:rPr>
          <w:rFonts w:ascii="Arial" w:eastAsia="Calibri" w:hAnsi="Arial" w:cs="Arial"/>
          <w:spacing w:val="-1"/>
          <w:sz w:val="17"/>
          <w:szCs w:val="17"/>
        </w:rPr>
        <w:t xml:space="preserve"> se deriva principalmente de</w:t>
      </w:r>
      <w:r w:rsidRPr="00BA272D">
        <w:rPr>
          <w:rFonts w:ascii="Arial" w:hAnsi="Arial" w:cs="Arial"/>
          <w:sz w:val="17"/>
          <w:szCs w:val="17"/>
        </w:rPr>
        <w:t xml:space="preserve"> </w:t>
      </w:r>
      <w:r w:rsidRPr="00BA272D">
        <w:rPr>
          <w:rFonts w:ascii="Arial" w:eastAsia="Calibri" w:hAnsi="Arial" w:cs="Arial"/>
          <w:spacing w:val="-1"/>
          <w:sz w:val="17"/>
          <w:szCs w:val="17"/>
        </w:rPr>
        <w:t xml:space="preserve">anticipos </w:t>
      </w:r>
      <w:r w:rsidR="009B6135">
        <w:rPr>
          <w:rFonts w:ascii="Arial" w:eastAsia="Calibri" w:hAnsi="Arial" w:cs="Arial"/>
          <w:spacing w:val="-1"/>
          <w:sz w:val="17"/>
          <w:szCs w:val="17"/>
        </w:rPr>
        <w:t xml:space="preserve">de las siguientes </w:t>
      </w:r>
      <w:r w:rsidRPr="00BA272D">
        <w:rPr>
          <w:rFonts w:ascii="Arial" w:eastAsia="Calibri" w:hAnsi="Arial" w:cs="Arial"/>
          <w:spacing w:val="-1"/>
          <w:sz w:val="17"/>
          <w:szCs w:val="17"/>
        </w:rPr>
        <w:t>obras</w:t>
      </w:r>
      <w:r w:rsidR="009B6135">
        <w:rPr>
          <w:rFonts w:ascii="Arial" w:eastAsia="Calibri" w:hAnsi="Arial" w:cs="Arial"/>
          <w:spacing w:val="-1"/>
          <w:sz w:val="17"/>
          <w:szCs w:val="17"/>
        </w:rPr>
        <w:t xml:space="preserve">: </w:t>
      </w:r>
    </w:p>
    <w:p w:rsidR="00FA179F" w:rsidRPr="00FA179F" w:rsidRDefault="00FA179F" w:rsidP="003B1811">
      <w:pPr>
        <w:spacing w:before="80" w:line="250" w:lineRule="exact"/>
        <w:ind w:left="708" w:firstLine="1"/>
        <w:jc w:val="both"/>
        <w:rPr>
          <w:rFonts w:ascii="Arial" w:eastAsia="Calibri" w:hAnsi="Arial" w:cs="Arial"/>
          <w:spacing w:val="-1"/>
          <w:sz w:val="17"/>
          <w:szCs w:val="17"/>
        </w:rPr>
      </w:pPr>
      <w:r w:rsidRPr="00FA179F">
        <w:rPr>
          <w:rFonts w:ascii="Arial" w:eastAsia="Calibri" w:hAnsi="Arial" w:cs="Arial"/>
          <w:spacing w:val="-1"/>
          <w:sz w:val="17"/>
          <w:szCs w:val="17"/>
        </w:rPr>
        <w:t xml:space="preserve">Reubicación de instalaciones aéreas y subterráneas para la modernización de la intersección de la Av. Paseo Constituyentes y camino a Santa Bárbara, Municipio de Corregidora, </w:t>
      </w:r>
      <w:proofErr w:type="spellStart"/>
      <w:r w:rsidRPr="00FA179F">
        <w:rPr>
          <w:rFonts w:ascii="Arial" w:eastAsia="Calibri" w:hAnsi="Arial" w:cs="Arial"/>
          <w:spacing w:val="-1"/>
          <w:sz w:val="17"/>
          <w:szCs w:val="17"/>
        </w:rPr>
        <w:t>Qro</w:t>
      </w:r>
      <w:proofErr w:type="spellEnd"/>
      <w:r w:rsidRPr="00FA179F">
        <w:rPr>
          <w:rFonts w:ascii="Arial" w:eastAsia="Calibri" w:hAnsi="Arial" w:cs="Arial"/>
          <w:spacing w:val="-1"/>
          <w:sz w:val="17"/>
          <w:szCs w:val="17"/>
        </w:rPr>
        <w:t>.</w:t>
      </w:r>
      <w:r w:rsidRPr="00FA179F">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t xml:space="preserve"> </w:t>
      </w:r>
      <w:r w:rsidR="003822F9">
        <w:rPr>
          <w:rFonts w:ascii="Arial" w:eastAsia="Calibri" w:hAnsi="Arial" w:cs="Arial"/>
          <w:spacing w:val="-1"/>
          <w:sz w:val="17"/>
          <w:szCs w:val="17"/>
        </w:rPr>
        <w:t>2, 334,897</w:t>
      </w:r>
    </w:p>
    <w:p w:rsidR="00FA179F" w:rsidRPr="00FA179F" w:rsidRDefault="00FA179F" w:rsidP="003B1811">
      <w:pPr>
        <w:spacing w:before="80" w:line="250" w:lineRule="exact"/>
        <w:ind w:left="708" w:firstLine="1"/>
        <w:jc w:val="both"/>
        <w:rPr>
          <w:rFonts w:ascii="Arial" w:eastAsia="Calibri" w:hAnsi="Arial" w:cs="Arial"/>
          <w:spacing w:val="-1"/>
          <w:sz w:val="17"/>
          <w:szCs w:val="17"/>
        </w:rPr>
      </w:pPr>
      <w:r w:rsidRPr="00FA179F">
        <w:rPr>
          <w:rFonts w:ascii="Arial" w:eastAsia="Calibri" w:hAnsi="Arial" w:cs="Arial"/>
          <w:spacing w:val="-1"/>
          <w:sz w:val="17"/>
          <w:szCs w:val="17"/>
        </w:rPr>
        <w:t xml:space="preserve">Mejoramiento de calle H. Colegio Militar y Ezequiel Montes, colonia centro, Tequisquiapan, </w:t>
      </w:r>
      <w:proofErr w:type="spellStart"/>
      <w:r w:rsidRPr="00FA179F">
        <w:rPr>
          <w:rFonts w:ascii="Arial" w:eastAsia="Calibri" w:hAnsi="Arial" w:cs="Arial"/>
          <w:spacing w:val="-1"/>
          <w:sz w:val="17"/>
          <w:szCs w:val="17"/>
        </w:rPr>
        <w:t>Qro</w:t>
      </w:r>
      <w:proofErr w:type="spellEnd"/>
      <w:r w:rsidRPr="00FA179F">
        <w:rPr>
          <w:rFonts w:ascii="Arial" w:eastAsia="Calibri" w:hAnsi="Arial" w:cs="Arial"/>
          <w:spacing w:val="-1"/>
          <w:sz w:val="17"/>
          <w:szCs w:val="17"/>
        </w:rPr>
        <w:t>.</w:t>
      </w:r>
      <w:r w:rsidRPr="00FA179F">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sidRPr="00FA179F">
        <w:rPr>
          <w:rFonts w:ascii="Arial" w:eastAsia="Calibri" w:hAnsi="Arial" w:cs="Arial"/>
          <w:spacing w:val="-1"/>
          <w:sz w:val="17"/>
          <w:szCs w:val="17"/>
        </w:rPr>
        <w:t>10, 687,3</w:t>
      </w:r>
      <w:r w:rsidR="003822F9">
        <w:rPr>
          <w:rFonts w:ascii="Arial" w:eastAsia="Calibri" w:hAnsi="Arial" w:cs="Arial"/>
          <w:spacing w:val="-1"/>
          <w:sz w:val="17"/>
          <w:szCs w:val="17"/>
        </w:rPr>
        <w:t>19</w:t>
      </w:r>
    </w:p>
    <w:p w:rsidR="00FA179F" w:rsidRPr="00FA179F" w:rsidRDefault="00FA179F" w:rsidP="00FA179F">
      <w:pPr>
        <w:spacing w:before="80" w:line="250" w:lineRule="exact"/>
        <w:ind w:left="708" w:right="-1559" w:firstLine="1"/>
        <w:jc w:val="both"/>
        <w:rPr>
          <w:rFonts w:ascii="Arial" w:eastAsia="Calibri" w:hAnsi="Arial" w:cs="Arial"/>
          <w:spacing w:val="-1"/>
          <w:sz w:val="17"/>
          <w:szCs w:val="17"/>
        </w:rPr>
      </w:pPr>
      <w:r w:rsidRPr="00FA179F">
        <w:rPr>
          <w:rFonts w:ascii="Arial" w:eastAsia="Calibri" w:hAnsi="Arial" w:cs="Arial"/>
          <w:spacing w:val="-1"/>
          <w:sz w:val="17"/>
          <w:szCs w:val="17"/>
        </w:rPr>
        <w:t>Mejoramiento de imagen urbana en el centro histórico de San Juan del Rio, Querétaro</w:t>
      </w:r>
      <w:r w:rsidRPr="00FA179F">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t xml:space="preserve">                  </w:t>
      </w:r>
      <w:r w:rsidR="003822F9">
        <w:rPr>
          <w:rFonts w:ascii="Arial" w:eastAsia="Calibri" w:hAnsi="Arial" w:cs="Arial"/>
          <w:spacing w:val="-1"/>
          <w:sz w:val="17"/>
          <w:szCs w:val="17"/>
        </w:rPr>
        <w:t>2, 277,092</w:t>
      </w:r>
    </w:p>
    <w:p w:rsidR="00FA179F" w:rsidRPr="00FA179F" w:rsidRDefault="00FA179F" w:rsidP="00FA179F">
      <w:pPr>
        <w:spacing w:before="80" w:line="250" w:lineRule="exact"/>
        <w:ind w:left="708" w:right="-1559" w:firstLine="1"/>
        <w:jc w:val="both"/>
        <w:rPr>
          <w:rFonts w:ascii="Arial" w:eastAsia="Calibri" w:hAnsi="Arial" w:cs="Arial"/>
          <w:spacing w:val="-1"/>
          <w:sz w:val="17"/>
          <w:szCs w:val="17"/>
        </w:rPr>
      </w:pPr>
      <w:r w:rsidRPr="00FA179F">
        <w:rPr>
          <w:rFonts w:ascii="Arial" w:eastAsia="Calibri" w:hAnsi="Arial" w:cs="Arial"/>
          <w:spacing w:val="-1"/>
          <w:sz w:val="17"/>
          <w:szCs w:val="17"/>
        </w:rPr>
        <w:t>Construcción de esta</w:t>
      </w:r>
      <w:r>
        <w:rPr>
          <w:rFonts w:ascii="Arial" w:eastAsia="Calibri" w:hAnsi="Arial" w:cs="Arial"/>
          <w:spacing w:val="-1"/>
          <w:sz w:val="17"/>
          <w:szCs w:val="17"/>
        </w:rPr>
        <w:t>ción de bomberos, San Juan del R</w:t>
      </w:r>
      <w:r w:rsidRPr="00FA179F">
        <w:rPr>
          <w:rFonts w:ascii="Arial" w:eastAsia="Calibri" w:hAnsi="Arial" w:cs="Arial"/>
          <w:spacing w:val="-1"/>
          <w:sz w:val="17"/>
          <w:szCs w:val="17"/>
        </w:rPr>
        <w:t xml:space="preserve">io, </w:t>
      </w:r>
      <w:proofErr w:type="spellStart"/>
      <w:r w:rsidRPr="00FA179F">
        <w:rPr>
          <w:rFonts w:ascii="Arial" w:eastAsia="Calibri" w:hAnsi="Arial" w:cs="Arial"/>
          <w:spacing w:val="-1"/>
          <w:sz w:val="17"/>
          <w:szCs w:val="17"/>
        </w:rPr>
        <w:t>Qro</w:t>
      </w:r>
      <w:proofErr w:type="spellEnd"/>
      <w:r w:rsidRPr="00FA179F">
        <w:rPr>
          <w:rFonts w:ascii="Arial" w:eastAsia="Calibri" w:hAnsi="Arial" w:cs="Arial"/>
          <w:spacing w:val="-1"/>
          <w:sz w:val="17"/>
          <w:szCs w:val="17"/>
        </w:rPr>
        <w:t>.</w:t>
      </w:r>
      <w:r>
        <w:rPr>
          <w:rFonts w:ascii="Arial" w:eastAsia="Calibri" w:hAnsi="Arial" w:cs="Arial"/>
          <w:spacing w:val="-1"/>
          <w:sz w:val="17"/>
          <w:szCs w:val="17"/>
        </w:rPr>
        <w:t xml:space="preserve">  </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t xml:space="preserve"> </w:t>
      </w:r>
      <w:r w:rsidR="003822F9">
        <w:rPr>
          <w:rFonts w:ascii="Arial" w:eastAsia="Calibri" w:hAnsi="Arial" w:cs="Arial"/>
          <w:spacing w:val="-1"/>
          <w:sz w:val="17"/>
          <w:szCs w:val="17"/>
        </w:rPr>
        <w:tab/>
        <w:t>19, 351,689</w:t>
      </w:r>
    </w:p>
    <w:p w:rsidR="00FA179F" w:rsidRPr="00FA179F" w:rsidRDefault="00FA179F" w:rsidP="00FA179F">
      <w:pPr>
        <w:spacing w:before="80" w:line="250" w:lineRule="exact"/>
        <w:ind w:left="708" w:right="-1559" w:firstLine="1"/>
        <w:jc w:val="both"/>
        <w:rPr>
          <w:rFonts w:ascii="Arial" w:eastAsia="Calibri" w:hAnsi="Arial" w:cs="Arial"/>
          <w:spacing w:val="-1"/>
          <w:sz w:val="17"/>
          <w:szCs w:val="17"/>
        </w:rPr>
      </w:pPr>
      <w:r w:rsidRPr="00FA179F">
        <w:rPr>
          <w:rFonts w:ascii="Arial" w:eastAsia="Calibri" w:hAnsi="Arial" w:cs="Arial"/>
          <w:spacing w:val="-1"/>
          <w:sz w:val="17"/>
          <w:szCs w:val="17"/>
        </w:rPr>
        <w:t xml:space="preserve">Construcción de clínica post COVID, Querétaro, </w:t>
      </w:r>
      <w:proofErr w:type="spellStart"/>
      <w:r w:rsidRPr="00FA179F">
        <w:rPr>
          <w:rFonts w:ascii="Arial" w:eastAsia="Calibri" w:hAnsi="Arial" w:cs="Arial"/>
          <w:spacing w:val="-1"/>
          <w:sz w:val="17"/>
          <w:szCs w:val="17"/>
        </w:rPr>
        <w:t>Qro</w:t>
      </w:r>
      <w:proofErr w:type="spellEnd"/>
      <w:r w:rsidRPr="00FA179F">
        <w:rPr>
          <w:rFonts w:ascii="Arial" w:eastAsia="Calibri" w:hAnsi="Arial" w:cs="Arial"/>
          <w:spacing w:val="-1"/>
          <w:sz w:val="17"/>
          <w:szCs w:val="17"/>
        </w:rPr>
        <w:t>.</w:t>
      </w:r>
      <w:r w:rsidRPr="00FA179F">
        <w:rPr>
          <w:rFonts w:ascii="Arial" w:eastAsia="Calibri" w:hAnsi="Arial" w:cs="Arial"/>
          <w:spacing w:val="-1"/>
          <w:sz w:val="17"/>
          <w:szCs w:val="17"/>
        </w:rPr>
        <w:tab/>
      </w:r>
      <w:r>
        <w:rPr>
          <w:rFonts w:ascii="Arial" w:eastAsia="Calibri" w:hAnsi="Arial" w:cs="Arial"/>
          <w:spacing w:val="-1"/>
          <w:sz w:val="17"/>
          <w:szCs w:val="17"/>
        </w:rPr>
        <w:t xml:space="preserve"> </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sidR="003822F9">
        <w:rPr>
          <w:rFonts w:ascii="Arial" w:eastAsia="Calibri" w:hAnsi="Arial" w:cs="Arial"/>
          <w:spacing w:val="-1"/>
          <w:sz w:val="17"/>
          <w:szCs w:val="17"/>
        </w:rPr>
        <w:t>10, 969,744</w:t>
      </w:r>
    </w:p>
    <w:p w:rsidR="00FA179F" w:rsidRPr="00FA179F" w:rsidRDefault="00FA179F" w:rsidP="00FA179F">
      <w:pPr>
        <w:spacing w:before="80" w:line="250" w:lineRule="exact"/>
        <w:ind w:left="708" w:right="-1559" w:firstLine="1"/>
        <w:jc w:val="both"/>
        <w:rPr>
          <w:rFonts w:ascii="Arial" w:eastAsia="Calibri" w:hAnsi="Arial" w:cs="Arial"/>
          <w:spacing w:val="-1"/>
          <w:sz w:val="17"/>
          <w:szCs w:val="17"/>
        </w:rPr>
      </w:pPr>
      <w:r w:rsidRPr="00FA179F">
        <w:rPr>
          <w:rFonts w:ascii="Arial" w:eastAsia="Calibri" w:hAnsi="Arial" w:cs="Arial"/>
          <w:spacing w:val="-1"/>
          <w:sz w:val="17"/>
          <w:szCs w:val="17"/>
        </w:rPr>
        <w:t>Mejoramiento de imagen urbana en el centro histórico de Tequisquiapan, Querétaro</w:t>
      </w:r>
      <w:r>
        <w:rPr>
          <w:rFonts w:ascii="Arial" w:eastAsia="Calibri" w:hAnsi="Arial" w:cs="Arial"/>
          <w:spacing w:val="-1"/>
          <w:sz w:val="17"/>
          <w:szCs w:val="17"/>
        </w:rPr>
        <w:t xml:space="preserve">                       </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t xml:space="preserve">                              </w:t>
      </w:r>
      <w:r w:rsidRPr="00FA179F">
        <w:rPr>
          <w:rFonts w:ascii="Arial" w:eastAsia="Calibri" w:hAnsi="Arial" w:cs="Arial"/>
          <w:spacing w:val="-1"/>
          <w:sz w:val="17"/>
          <w:szCs w:val="17"/>
        </w:rPr>
        <w:tab/>
      </w:r>
      <w:r>
        <w:rPr>
          <w:rFonts w:ascii="Arial" w:eastAsia="Calibri" w:hAnsi="Arial" w:cs="Arial"/>
          <w:spacing w:val="-1"/>
          <w:sz w:val="17"/>
          <w:szCs w:val="17"/>
        </w:rPr>
        <w:t xml:space="preserve">     </w:t>
      </w:r>
      <w:r w:rsidR="003822F9">
        <w:rPr>
          <w:rFonts w:ascii="Arial" w:eastAsia="Calibri" w:hAnsi="Arial" w:cs="Arial"/>
          <w:spacing w:val="-1"/>
          <w:sz w:val="17"/>
          <w:szCs w:val="17"/>
        </w:rPr>
        <w:t>924,824</w:t>
      </w:r>
    </w:p>
    <w:p w:rsidR="00FA179F" w:rsidRDefault="00FA179F" w:rsidP="00FA179F">
      <w:pPr>
        <w:spacing w:before="80" w:line="250" w:lineRule="exact"/>
        <w:ind w:left="708" w:right="-1559" w:firstLine="1"/>
        <w:jc w:val="both"/>
        <w:rPr>
          <w:rFonts w:ascii="Arial" w:eastAsia="Calibri" w:hAnsi="Arial" w:cs="Arial"/>
          <w:spacing w:val="-1"/>
          <w:sz w:val="17"/>
          <w:szCs w:val="17"/>
        </w:rPr>
      </w:pPr>
      <w:r w:rsidRPr="00FA179F">
        <w:rPr>
          <w:rFonts w:ascii="Arial" w:eastAsia="Calibri" w:hAnsi="Arial" w:cs="Arial"/>
          <w:spacing w:val="-1"/>
          <w:sz w:val="17"/>
          <w:szCs w:val="17"/>
        </w:rPr>
        <w:t>Estudios de geotecnia y proyecto de reestructuración para el ex convento de Santa Rosa de V</w:t>
      </w:r>
      <w:r>
        <w:rPr>
          <w:rFonts w:ascii="Arial" w:eastAsia="Calibri" w:hAnsi="Arial" w:cs="Arial"/>
          <w:spacing w:val="-1"/>
          <w:sz w:val="17"/>
          <w:szCs w:val="17"/>
        </w:rPr>
        <w:t xml:space="preserve">iterbo, Santiago de Querétaro, </w:t>
      </w:r>
      <w:proofErr w:type="spellStart"/>
      <w:r>
        <w:rPr>
          <w:rFonts w:ascii="Arial" w:eastAsia="Calibri" w:hAnsi="Arial" w:cs="Arial"/>
          <w:spacing w:val="-1"/>
          <w:sz w:val="17"/>
          <w:szCs w:val="17"/>
        </w:rPr>
        <w:t>Q</w:t>
      </w:r>
      <w:r w:rsidRPr="00FA179F">
        <w:rPr>
          <w:rFonts w:ascii="Arial" w:eastAsia="Calibri" w:hAnsi="Arial" w:cs="Arial"/>
          <w:spacing w:val="-1"/>
          <w:sz w:val="17"/>
          <w:szCs w:val="17"/>
        </w:rPr>
        <w:t>ro</w:t>
      </w:r>
      <w:proofErr w:type="spellEnd"/>
      <w:r w:rsidRPr="00FA179F">
        <w:rPr>
          <w:rFonts w:ascii="Arial" w:eastAsia="Calibri" w:hAnsi="Arial" w:cs="Arial"/>
          <w:spacing w:val="-1"/>
          <w:sz w:val="17"/>
          <w:szCs w:val="17"/>
        </w:rPr>
        <w:tab/>
      </w:r>
      <w:r>
        <w:rPr>
          <w:rFonts w:ascii="Arial" w:eastAsia="Calibri" w:hAnsi="Arial" w:cs="Arial"/>
          <w:spacing w:val="-1"/>
          <w:sz w:val="17"/>
          <w:szCs w:val="17"/>
        </w:rPr>
        <w:t xml:space="preserve">                     </w:t>
      </w:r>
      <w:r w:rsidR="003822F9">
        <w:rPr>
          <w:rFonts w:ascii="Arial" w:eastAsia="Calibri" w:hAnsi="Arial" w:cs="Arial"/>
          <w:spacing w:val="-1"/>
          <w:sz w:val="17"/>
          <w:szCs w:val="17"/>
        </w:rPr>
        <w:t>370,852</w:t>
      </w:r>
    </w:p>
    <w:p w:rsidR="00FA179F" w:rsidRDefault="00FA179F" w:rsidP="002F2BAD">
      <w:pPr>
        <w:spacing w:before="80" w:line="250" w:lineRule="exact"/>
        <w:ind w:left="708" w:right="-1559" w:firstLine="1"/>
        <w:jc w:val="both"/>
        <w:rPr>
          <w:rFonts w:ascii="Arial" w:eastAsia="Calibri" w:hAnsi="Arial" w:cs="Arial"/>
          <w:spacing w:val="-1"/>
          <w:sz w:val="17"/>
          <w:szCs w:val="17"/>
        </w:rPr>
      </w:pPr>
    </w:p>
    <w:p w:rsidR="00F71E5C" w:rsidRPr="00BA272D" w:rsidRDefault="00F71E5C" w:rsidP="00ED5DE7">
      <w:pPr>
        <w:pStyle w:val="Prrafodelista"/>
        <w:numPr>
          <w:ilvl w:val="0"/>
          <w:numId w:val="8"/>
        </w:numPr>
        <w:spacing w:before="80" w:line="250" w:lineRule="exact"/>
        <w:ind w:left="714" w:right="-1559" w:hanging="5"/>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t>Inventar</w:t>
      </w:r>
      <w:r w:rsidR="006B173A">
        <w:rPr>
          <w:rFonts w:ascii="Arial" w:eastAsia="Calibri" w:hAnsi="Arial" w:cs="Arial"/>
          <w:b/>
          <w:spacing w:val="-1"/>
          <w:sz w:val="17"/>
          <w:szCs w:val="17"/>
        </w:rPr>
        <w:t>ios</w:t>
      </w:r>
    </w:p>
    <w:p w:rsidR="00C12F95" w:rsidRDefault="00C12F95" w:rsidP="00ED5DE7">
      <w:pPr>
        <w:spacing w:before="80" w:line="250" w:lineRule="exact"/>
        <w:ind w:left="709" w:right="-1559" w:hanging="5"/>
        <w:jc w:val="both"/>
        <w:rPr>
          <w:rFonts w:ascii="Arial" w:eastAsia="Calibri" w:hAnsi="Arial" w:cs="Arial"/>
          <w:spacing w:val="-1"/>
          <w:sz w:val="17"/>
          <w:szCs w:val="17"/>
        </w:rPr>
      </w:pPr>
      <w:r>
        <w:rPr>
          <w:rFonts w:ascii="Arial" w:eastAsia="Calibri" w:hAnsi="Arial" w:cs="Arial"/>
          <w:spacing w:val="-1"/>
          <w:sz w:val="17"/>
          <w:szCs w:val="17"/>
        </w:rPr>
        <w:t xml:space="preserve">Se informa el saldo al 31 de diciembre de 2021, de los bienes que se </w:t>
      </w:r>
      <w:r w:rsidR="00F71E5C" w:rsidRPr="00BA272D">
        <w:rPr>
          <w:rFonts w:ascii="Arial" w:eastAsia="Calibri" w:hAnsi="Arial" w:cs="Arial"/>
          <w:spacing w:val="-1"/>
          <w:sz w:val="17"/>
          <w:szCs w:val="17"/>
        </w:rPr>
        <w:t>clasifican como bienes dis</w:t>
      </w:r>
      <w:r>
        <w:rPr>
          <w:rFonts w:ascii="Arial" w:eastAsia="Calibri" w:hAnsi="Arial" w:cs="Arial"/>
          <w:spacing w:val="-1"/>
          <w:sz w:val="17"/>
          <w:szCs w:val="17"/>
        </w:rPr>
        <w:t>ponibles para su transformación.</w:t>
      </w:r>
      <w:r w:rsidR="00F71E5C" w:rsidRPr="00BA272D">
        <w:rPr>
          <w:rFonts w:ascii="Arial" w:eastAsia="Calibri" w:hAnsi="Arial" w:cs="Arial"/>
          <w:spacing w:val="-1"/>
          <w:sz w:val="17"/>
          <w:szCs w:val="17"/>
        </w:rPr>
        <w:t xml:space="preserve"> </w:t>
      </w:r>
    </w:p>
    <w:p w:rsidR="00F71E5C" w:rsidRPr="00BA272D" w:rsidRDefault="004E1DD0" w:rsidP="00F71E5C">
      <w:pPr>
        <w:pStyle w:val="Prrafodelista"/>
        <w:autoSpaceDE w:val="0"/>
        <w:autoSpaceDN w:val="0"/>
        <w:adjustRightInd w:val="0"/>
        <w:spacing w:before="240"/>
        <w:jc w:val="center"/>
        <w:rPr>
          <w:rFonts w:ascii="Arial" w:eastAsia="Calibri" w:hAnsi="Arial" w:cs="Arial"/>
          <w:b/>
          <w:spacing w:val="-1"/>
          <w:sz w:val="17"/>
          <w:szCs w:val="17"/>
        </w:rPr>
      </w:pPr>
      <w:r w:rsidRPr="00BA272D">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W w:w="9260" w:type="dxa"/>
        <w:tblInd w:w="2208" w:type="dxa"/>
        <w:tblCellMar>
          <w:left w:w="70" w:type="dxa"/>
          <w:right w:w="70" w:type="dxa"/>
        </w:tblCellMar>
        <w:tblLook w:val="04A0" w:firstRow="1" w:lastRow="0" w:firstColumn="1" w:lastColumn="0" w:noHBand="0" w:noVBand="1"/>
      </w:tblPr>
      <w:tblGrid>
        <w:gridCol w:w="4900"/>
        <w:gridCol w:w="2180"/>
        <w:gridCol w:w="2180"/>
      </w:tblGrid>
      <w:tr w:rsidR="00F71E5C"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76ACB" w:rsidRPr="00BA272D" w:rsidTr="00ED5DE7">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Inventario de Materias Primas, Materiales y Suministros para Producción</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62,600 </w:t>
            </w:r>
          </w:p>
        </w:tc>
      </w:tr>
    </w:tbl>
    <w:p w:rsidR="006B173A" w:rsidRDefault="006B173A" w:rsidP="006B173A">
      <w:pPr>
        <w:spacing w:before="80" w:line="250" w:lineRule="exact"/>
        <w:ind w:right="-1559"/>
        <w:jc w:val="both"/>
        <w:rPr>
          <w:rFonts w:ascii="Arial" w:eastAsia="Calibri" w:hAnsi="Arial" w:cs="Arial"/>
          <w:b/>
          <w:spacing w:val="-1"/>
          <w:sz w:val="17"/>
          <w:szCs w:val="17"/>
        </w:rPr>
      </w:pPr>
    </w:p>
    <w:p w:rsidR="003822F9" w:rsidRDefault="003822F9" w:rsidP="006B173A">
      <w:pPr>
        <w:spacing w:before="80" w:line="250" w:lineRule="exact"/>
        <w:ind w:right="-1559"/>
        <w:jc w:val="both"/>
        <w:rPr>
          <w:rFonts w:ascii="Arial" w:eastAsia="Calibri" w:hAnsi="Arial" w:cs="Arial"/>
          <w:b/>
          <w:spacing w:val="-1"/>
          <w:sz w:val="17"/>
          <w:szCs w:val="17"/>
        </w:rPr>
      </w:pPr>
    </w:p>
    <w:p w:rsidR="003822F9" w:rsidRDefault="003822F9" w:rsidP="006B173A">
      <w:pPr>
        <w:spacing w:before="80" w:line="250" w:lineRule="exact"/>
        <w:ind w:right="-1559"/>
        <w:jc w:val="both"/>
        <w:rPr>
          <w:rFonts w:ascii="Arial" w:eastAsia="Calibri" w:hAnsi="Arial" w:cs="Arial"/>
          <w:b/>
          <w:spacing w:val="-1"/>
          <w:sz w:val="17"/>
          <w:szCs w:val="17"/>
        </w:rPr>
      </w:pPr>
    </w:p>
    <w:p w:rsidR="003822F9" w:rsidRDefault="003822F9" w:rsidP="006B173A">
      <w:pPr>
        <w:spacing w:before="80" w:line="250" w:lineRule="exact"/>
        <w:ind w:right="-1559"/>
        <w:jc w:val="both"/>
        <w:rPr>
          <w:rFonts w:ascii="Arial" w:eastAsia="Calibri" w:hAnsi="Arial" w:cs="Arial"/>
          <w:b/>
          <w:spacing w:val="-1"/>
          <w:sz w:val="17"/>
          <w:szCs w:val="17"/>
        </w:rPr>
      </w:pPr>
    </w:p>
    <w:p w:rsidR="003822F9" w:rsidRDefault="003822F9" w:rsidP="006B173A">
      <w:pPr>
        <w:spacing w:before="80" w:line="250" w:lineRule="exact"/>
        <w:ind w:right="-1559"/>
        <w:jc w:val="both"/>
        <w:rPr>
          <w:rFonts w:ascii="Arial" w:eastAsia="Calibri" w:hAnsi="Arial" w:cs="Arial"/>
          <w:b/>
          <w:spacing w:val="-1"/>
          <w:sz w:val="17"/>
          <w:szCs w:val="17"/>
        </w:rPr>
      </w:pPr>
    </w:p>
    <w:p w:rsidR="003822F9" w:rsidRDefault="003822F9" w:rsidP="006B173A">
      <w:pPr>
        <w:spacing w:before="80" w:line="250" w:lineRule="exact"/>
        <w:ind w:right="-1559"/>
        <w:jc w:val="both"/>
        <w:rPr>
          <w:rFonts w:ascii="Arial" w:eastAsia="Calibri" w:hAnsi="Arial" w:cs="Arial"/>
          <w:b/>
          <w:spacing w:val="-1"/>
          <w:sz w:val="17"/>
          <w:szCs w:val="17"/>
        </w:rPr>
      </w:pPr>
    </w:p>
    <w:p w:rsidR="003822F9" w:rsidRPr="006B173A" w:rsidRDefault="003822F9" w:rsidP="006B173A">
      <w:pPr>
        <w:spacing w:before="80" w:line="250" w:lineRule="exact"/>
        <w:ind w:right="-1559"/>
        <w:jc w:val="both"/>
        <w:rPr>
          <w:rFonts w:ascii="Arial" w:eastAsia="Calibri" w:hAnsi="Arial" w:cs="Arial"/>
          <w:b/>
          <w:spacing w:val="-1"/>
          <w:sz w:val="17"/>
          <w:szCs w:val="17"/>
        </w:rPr>
      </w:pPr>
    </w:p>
    <w:p w:rsidR="006B173A" w:rsidRDefault="006B173A" w:rsidP="006B173A">
      <w:pPr>
        <w:pStyle w:val="Prrafodelista"/>
        <w:numPr>
          <w:ilvl w:val="0"/>
          <w:numId w:val="8"/>
        </w:numPr>
        <w:spacing w:before="80" w:line="250" w:lineRule="exact"/>
        <w:ind w:left="714" w:right="-1559" w:hanging="5"/>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Almacenes</w:t>
      </w:r>
    </w:p>
    <w:p w:rsidR="006B173A" w:rsidRPr="00BA272D" w:rsidRDefault="006B173A" w:rsidP="006B173A">
      <w:pPr>
        <w:pStyle w:val="Prrafodelista"/>
        <w:spacing w:before="80" w:line="250" w:lineRule="exact"/>
        <w:ind w:left="714" w:right="-1559"/>
        <w:contextualSpacing w:val="0"/>
        <w:jc w:val="both"/>
        <w:rPr>
          <w:rFonts w:ascii="Arial" w:eastAsia="Calibri" w:hAnsi="Arial" w:cs="Arial"/>
          <w:b/>
          <w:spacing w:val="-1"/>
          <w:sz w:val="17"/>
          <w:szCs w:val="17"/>
        </w:rPr>
      </w:pPr>
    </w:p>
    <w:p w:rsidR="006B173A" w:rsidRDefault="006B173A" w:rsidP="006B173A">
      <w:pPr>
        <w:pStyle w:val="Texto"/>
        <w:spacing w:after="100" w:line="220" w:lineRule="exact"/>
        <w:ind w:left="851" w:right="-1559"/>
        <w:rPr>
          <w:rFonts w:ascii="Arial" w:eastAsia="Calibri" w:hAnsi="Arial" w:cs="Arial"/>
          <w:spacing w:val="-1"/>
          <w:sz w:val="17"/>
          <w:szCs w:val="17"/>
        </w:rPr>
      </w:pPr>
      <w:r>
        <w:rPr>
          <w:rFonts w:ascii="Arial" w:eastAsia="Calibri" w:hAnsi="Arial" w:cs="Arial"/>
          <w:spacing w:val="-1"/>
          <w:sz w:val="17"/>
          <w:szCs w:val="17"/>
        </w:rPr>
        <w:t xml:space="preserve">Se informa el saldo al 31 de diciembre de 2021, de </w:t>
      </w:r>
      <w:r w:rsidRPr="006B173A">
        <w:rPr>
          <w:rFonts w:ascii="Arial" w:eastAsia="Calibri" w:hAnsi="Arial" w:cs="Arial"/>
          <w:spacing w:val="-1"/>
          <w:sz w:val="17"/>
          <w:szCs w:val="17"/>
        </w:rPr>
        <w:t>Almacén de Materiales y Suministros de Consumo</w:t>
      </w:r>
      <w:r>
        <w:rPr>
          <w:rFonts w:ascii="Arial" w:eastAsia="Calibri" w:hAnsi="Arial" w:cs="Arial"/>
          <w:spacing w:val="-1"/>
          <w:sz w:val="17"/>
          <w:szCs w:val="17"/>
        </w:rPr>
        <w:t>:</w:t>
      </w:r>
    </w:p>
    <w:p w:rsidR="006B173A" w:rsidRPr="00462817" w:rsidRDefault="006B173A" w:rsidP="006B173A">
      <w:pPr>
        <w:pStyle w:val="Texto"/>
        <w:spacing w:after="100" w:line="220" w:lineRule="exact"/>
        <w:ind w:left="851" w:right="-1559"/>
        <w:rPr>
          <w:lang w:val="es-MX"/>
        </w:rPr>
      </w:pPr>
    </w:p>
    <w:p w:rsidR="006B173A" w:rsidRDefault="006B173A" w:rsidP="006B173A">
      <w:pPr>
        <w:spacing w:before="80" w:line="250" w:lineRule="exact"/>
        <w:ind w:left="709" w:right="-1559" w:hanging="5"/>
        <w:jc w:val="both"/>
        <w:rPr>
          <w:rFonts w:ascii="Arial" w:eastAsia="Calibri" w:hAnsi="Arial" w:cs="Arial"/>
          <w:spacing w:val="-1"/>
          <w:sz w:val="17"/>
          <w:szCs w:val="17"/>
        </w:rPr>
      </w:pPr>
    </w:p>
    <w:p w:rsidR="00F71E5C" w:rsidRPr="00BA272D" w:rsidRDefault="006B173A" w:rsidP="006B173A">
      <w:pPr>
        <w:pStyle w:val="Prrafodelista"/>
        <w:autoSpaceDE w:val="0"/>
        <w:autoSpaceDN w:val="0"/>
        <w:adjustRightInd w:val="0"/>
        <w:spacing w:before="240"/>
        <w:jc w:val="center"/>
        <w:rPr>
          <w:rFonts w:ascii="Arial" w:eastAsia="Calibri" w:hAnsi="Arial" w:cs="Arial"/>
          <w:b/>
          <w:spacing w:val="-1"/>
          <w:sz w:val="17"/>
          <w:szCs w:val="17"/>
        </w:rPr>
      </w:pPr>
      <w:r w:rsidRPr="00BA272D">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BA272D" w:rsidTr="003822F9">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76ACB" w:rsidRPr="00BA272D" w:rsidTr="00ED5DE7">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Almacén de Materiales y Suministros de Consumo</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898,018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5,312,885 </w:t>
            </w:r>
          </w:p>
        </w:tc>
      </w:tr>
    </w:tbl>
    <w:p w:rsidR="00F71E5C" w:rsidRPr="00BA272D" w:rsidRDefault="00F71E5C" w:rsidP="00F71E5C">
      <w:pPr>
        <w:spacing w:before="80" w:line="250" w:lineRule="exact"/>
        <w:ind w:left="709"/>
        <w:jc w:val="both"/>
        <w:rPr>
          <w:rFonts w:ascii="Arial" w:eastAsia="Calibri" w:hAnsi="Arial" w:cs="Arial"/>
          <w:spacing w:val="-1"/>
          <w:sz w:val="17"/>
          <w:szCs w:val="17"/>
        </w:rPr>
      </w:pPr>
    </w:p>
    <w:p w:rsidR="00F71E5C" w:rsidRPr="00BA272D" w:rsidRDefault="009D768A" w:rsidP="00ED5DE7">
      <w:pPr>
        <w:spacing w:before="80" w:line="250" w:lineRule="exact"/>
        <w:ind w:left="709" w:right="-1559"/>
        <w:jc w:val="both"/>
        <w:rPr>
          <w:rFonts w:ascii="Arial" w:eastAsia="Calibri" w:hAnsi="Arial" w:cs="Arial"/>
          <w:spacing w:val="-1"/>
          <w:sz w:val="17"/>
          <w:szCs w:val="17"/>
        </w:rPr>
      </w:pPr>
      <w:r>
        <w:rPr>
          <w:rFonts w:ascii="Arial" w:eastAsia="Calibri" w:hAnsi="Arial" w:cs="Arial"/>
          <w:spacing w:val="-1"/>
          <w:sz w:val="17"/>
          <w:szCs w:val="17"/>
        </w:rPr>
        <w:t>El decremento</w:t>
      </w:r>
      <w:r w:rsidR="00B26D94">
        <w:rPr>
          <w:rFonts w:ascii="Arial" w:eastAsia="Calibri" w:hAnsi="Arial" w:cs="Arial"/>
          <w:spacing w:val="-1"/>
          <w:sz w:val="17"/>
          <w:szCs w:val="17"/>
        </w:rPr>
        <w:t xml:space="preserve"> en la cuenta de Almacén de Materiales y Suministro de Consumo,</w:t>
      </w:r>
      <w:r>
        <w:rPr>
          <w:rFonts w:ascii="Arial" w:eastAsia="Calibri" w:hAnsi="Arial" w:cs="Arial"/>
          <w:spacing w:val="-1"/>
          <w:sz w:val="17"/>
          <w:szCs w:val="17"/>
        </w:rPr>
        <w:t xml:space="preserve"> se registra principalmente en los almacenes que corresponden al rubro de</w:t>
      </w:r>
      <w:r w:rsidR="008702DD">
        <w:rPr>
          <w:rFonts w:ascii="Arial" w:eastAsia="Calibri" w:hAnsi="Arial" w:cs="Arial"/>
          <w:spacing w:val="-1"/>
          <w:sz w:val="17"/>
          <w:szCs w:val="17"/>
        </w:rPr>
        <w:t xml:space="preserve"> material </w:t>
      </w:r>
      <w:r w:rsidR="004E1DD0">
        <w:rPr>
          <w:rFonts w:ascii="Arial" w:eastAsia="Calibri" w:hAnsi="Arial" w:cs="Arial"/>
          <w:spacing w:val="-1"/>
          <w:sz w:val="17"/>
          <w:szCs w:val="17"/>
        </w:rPr>
        <w:t>para impresiones</w:t>
      </w:r>
      <w:r w:rsidR="00F71E5C" w:rsidRPr="00BA272D">
        <w:rPr>
          <w:rFonts w:ascii="Arial" w:eastAsia="Calibri" w:hAnsi="Arial" w:cs="Arial"/>
          <w:spacing w:val="-1"/>
          <w:sz w:val="17"/>
          <w:szCs w:val="17"/>
        </w:rPr>
        <w:t xml:space="preserve"> por un importe </w:t>
      </w:r>
      <w:r w:rsidR="00F71E5C" w:rsidRPr="003822F9">
        <w:rPr>
          <w:rFonts w:ascii="Arial" w:eastAsia="Calibri" w:hAnsi="Arial" w:cs="Arial"/>
          <w:spacing w:val="-1"/>
          <w:sz w:val="17"/>
          <w:szCs w:val="17"/>
        </w:rPr>
        <w:t xml:space="preserve">de </w:t>
      </w:r>
      <w:r w:rsidR="00F65C9A" w:rsidRPr="003822F9">
        <w:rPr>
          <w:rFonts w:ascii="Arial" w:eastAsia="Calibri" w:hAnsi="Arial" w:cs="Arial"/>
          <w:spacing w:val="-1"/>
          <w:sz w:val="17"/>
          <w:szCs w:val="17"/>
        </w:rPr>
        <w:t>2</w:t>
      </w:r>
      <w:r w:rsidR="003822F9" w:rsidRPr="003822F9">
        <w:rPr>
          <w:rFonts w:ascii="Arial" w:eastAsia="Calibri" w:hAnsi="Arial" w:cs="Arial"/>
          <w:spacing w:val="-1"/>
          <w:sz w:val="17"/>
          <w:szCs w:val="17"/>
        </w:rPr>
        <w:t>,</w:t>
      </w:r>
      <w:r w:rsidR="003A2558" w:rsidRPr="003822F9">
        <w:rPr>
          <w:rFonts w:ascii="Arial" w:eastAsia="Calibri" w:hAnsi="Arial" w:cs="Arial"/>
          <w:spacing w:val="-1"/>
          <w:sz w:val="17"/>
          <w:szCs w:val="17"/>
        </w:rPr>
        <w:t>241,147</w:t>
      </w:r>
      <w:r w:rsidR="00764A61" w:rsidRPr="003822F9">
        <w:rPr>
          <w:rFonts w:ascii="Arial" w:eastAsia="Calibri" w:hAnsi="Arial" w:cs="Arial"/>
          <w:spacing w:val="-1"/>
          <w:sz w:val="17"/>
          <w:szCs w:val="17"/>
        </w:rPr>
        <w:t>.</w:t>
      </w:r>
    </w:p>
    <w:p w:rsidR="00F71E5C" w:rsidRPr="00BA272D" w:rsidRDefault="00F71E5C" w:rsidP="00F71E5C">
      <w:pPr>
        <w:spacing w:before="80" w:line="250" w:lineRule="exact"/>
        <w:ind w:left="709"/>
        <w:jc w:val="both"/>
        <w:rPr>
          <w:rFonts w:ascii="Arial" w:eastAsia="Calibri" w:hAnsi="Arial" w:cs="Arial"/>
          <w:spacing w:val="-1"/>
          <w:sz w:val="17"/>
          <w:szCs w:val="17"/>
        </w:rPr>
      </w:pPr>
    </w:p>
    <w:p w:rsidR="00F71E5C" w:rsidRPr="00BA272D" w:rsidRDefault="00F71E5C" w:rsidP="00062455">
      <w:pPr>
        <w:pStyle w:val="Prrafodelista"/>
        <w:numPr>
          <w:ilvl w:val="0"/>
          <w:numId w:val="8"/>
        </w:numPr>
        <w:spacing w:before="80" w:line="250" w:lineRule="exact"/>
        <w:ind w:hanging="11"/>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t>Estimación por Pérdida o Deterioro de Activos Circulantes y Otros Activos Circulantes</w:t>
      </w:r>
    </w:p>
    <w:p w:rsidR="00F71E5C" w:rsidRPr="00BA272D" w:rsidRDefault="00F71E5C" w:rsidP="00062455">
      <w:pPr>
        <w:pStyle w:val="Prrafodelista"/>
        <w:spacing w:before="80" w:line="250" w:lineRule="exact"/>
        <w:ind w:hanging="11"/>
        <w:contextualSpacing w:val="0"/>
        <w:jc w:val="both"/>
        <w:rPr>
          <w:rFonts w:ascii="Arial" w:eastAsia="Calibri" w:hAnsi="Arial" w:cs="Arial"/>
          <w:b/>
          <w:spacing w:val="-1"/>
          <w:sz w:val="17"/>
          <w:szCs w:val="17"/>
        </w:rPr>
      </w:pPr>
    </w:p>
    <w:p w:rsidR="00F71E5C" w:rsidRPr="00BA272D" w:rsidRDefault="00F71E5C" w:rsidP="00062455">
      <w:pPr>
        <w:spacing w:before="80" w:line="250" w:lineRule="exact"/>
        <w:ind w:left="709" w:hanging="11"/>
        <w:jc w:val="both"/>
        <w:rPr>
          <w:rFonts w:ascii="Arial" w:eastAsia="Calibri" w:hAnsi="Arial" w:cs="Arial"/>
          <w:spacing w:val="-1"/>
          <w:sz w:val="17"/>
          <w:szCs w:val="17"/>
        </w:rPr>
      </w:pPr>
      <w:r w:rsidRPr="00BA272D">
        <w:rPr>
          <w:rFonts w:ascii="Arial" w:eastAsia="Calibri" w:hAnsi="Arial" w:cs="Arial"/>
          <w:spacing w:val="-1"/>
          <w:sz w:val="17"/>
          <w:szCs w:val="17"/>
        </w:rPr>
        <w:t>En estos rubros no existe</w:t>
      </w:r>
      <w:r w:rsidR="0012182B" w:rsidRPr="00BA272D">
        <w:rPr>
          <w:rFonts w:ascii="Arial" w:eastAsia="Calibri" w:hAnsi="Arial" w:cs="Arial"/>
          <w:spacing w:val="-1"/>
          <w:sz w:val="17"/>
          <w:szCs w:val="17"/>
        </w:rPr>
        <w:t>n</w:t>
      </w:r>
      <w:r w:rsidRPr="00BA272D">
        <w:rPr>
          <w:rFonts w:ascii="Arial" w:eastAsia="Calibri" w:hAnsi="Arial" w:cs="Arial"/>
          <w:spacing w:val="-1"/>
          <w:sz w:val="17"/>
          <w:szCs w:val="17"/>
        </w:rPr>
        <w:t xml:space="preserve"> movimiento</w:t>
      </w:r>
      <w:r w:rsidR="0012182B" w:rsidRPr="00BA272D">
        <w:rPr>
          <w:rFonts w:ascii="Arial" w:eastAsia="Calibri" w:hAnsi="Arial" w:cs="Arial"/>
          <w:spacing w:val="-1"/>
          <w:sz w:val="17"/>
          <w:szCs w:val="17"/>
        </w:rPr>
        <w:t>s.</w:t>
      </w:r>
    </w:p>
    <w:p w:rsidR="0012182B" w:rsidRPr="00BA272D" w:rsidRDefault="0012182B" w:rsidP="00062455">
      <w:pPr>
        <w:spacing w:before="80" w:line="250" w:lineRule="exact"/>
        <w:ind w:left="709" w:hanging="11"/>
        <w:jc w:val="both"/>
        <w:rPr>
          <w:rFonts w:ascii="Arial" w:eastAsia="Calibri" w:hAnsi="Arial" w:cs="Arial"/>
          <w:spacing w:val="-1"/>
          <w:sz w:val="17"/>
          <w:szCs w:val="17"/>
        </w:rPr>
      </w:pPr>
    </w:p>
    <w:p w:rsidR="00F71E5C" w:rsidRPr="00BA272D" w:rsidRDefault="00F71E5C" w:rsidP="00062455">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t>Inversiones Financieras</w:t>
      </w:r>
    </w:p>
    <w:p w:rsidR="00F71E5C" w:rsidRPr="00BA272D" w:rsidRDefault="00F71E5C" w:rsidP="00062455">
      <w:pPr>
        <w:pStyle w:val="Prrafodelista"/>
        <w:spacing w:before="80" w:line="250" w:lineRule="exact"/>
        <w:ind w:left="714" w:hanging="11"/>
        <w:contextualSpacing w:val="0"/>
        <w:jc w:val="both"/>
        <w:rPr>
          <w:rFonts w:ascii="Arial" w:eastAsia="Calibri" w:hAnsi="Arial" w:cs="Arial"/>
          <w:b/>
          <w:spacing w:val="-1"/>
          <w:sz w:val="17"/>
          <w:szCs w:val="17"/>
        </w:rPr>
      </w:pPr>
    </w:p>
    <w:p w:rsidR="00F71E5C" w:rsidRPr="00BA272D" w:rsidRDefault="00F71E5C" w:rsidP="00062455">
      <w:pPr>
        <w:spacing w:before="80" w:line="250" w:lineRule="exact"/>
        <w:ind w:left="709" w:hanging="11"/>
        <w:jc w:val="both"/>
        <w:rPr>
          <w:rFonts w:ascii="Arial" w:eastAsia="Calibri" w:hAnsi="Arial" w:cs="Arial"/>
          <w:spacing w:val="-1"/>
          <w:sz w:val="17"/>
          <w:szCs w:val="17"/>
        </w:rPr>
      </w:pPr>
      <w:r w:rsidRPr="00BA272D">
        <w:rPr>
          <w:rFonts w:ascii="Arial" w:eastAsia="Calibri" w:hAnsi="Arial" w:cs="Arial"/>
          <w:spacing w:val="-1"/>
          <w:sz w:val="17"/>
          <w:szCs w:val="17"/>
        </w:rPr>
        <w:t>En este apartado se informa la integración de Inversiones Financieras a Largo Plazo del Poder Ejecutivo del Estado de Querétaro:</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9260" w:type="dxa"/>
        <w:tblInd w:w="2147" w:type="dxa"/>
        <w:tblCellMar>
          <w:left w:w="70" w:type="dxa"/>
          <w:right w:w="70" w:type="dxa"/>
        </w:tblCellMar>
        <w:tblLook w:val="04A0" w:firstRow="1" w:lastRow="0" w:firstColumn="1" w:lastColumn="0" w:noHBand="0" w:noVBand="1"/>
      </w:tblPr>
      <w:tblGrid>
        <w:gridCol w:w="4900"/>
        <w:gridCol w:w="2180"/>
        <w:gridCol w:w="2180"/>
      </w:tblGrid>
      <w:tr w:rsidR="00F71E5C"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76ACB" w:rsidRPr="00BA272D" w:rsidTr="00B51A2E">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Fideicomisos, Mandatos y Contratos Análogos</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28,130,292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65,566,466 </w:t>
            </w:r>
          </w:p>
        </w:tc>
      </w:tr>
      <w:tr w:rsidR="00D76ACB" w:rsidRPr="00BA272D" w:rsidTr="00B51A2E">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76ACB" w:rsidRPr="00BA272D" w:rsidRDefault="00D76ACB" w:rsidP="00D76ACB">
            <w:pPr>
              <w:rPr>
                <w:rFonts w:ascii="Arial" w:hAnsi="Arial" w:cs="Arial"/>
                <w:sz w:val="17"/>
                <w:szCs w:val="17"/>
              </w:rPr>
            </w:pPr>
            <w:r w:rsidRPr="00BA272D">
              <w:rPr>
                <w:rFonts w:ascii="Arial" w:hAnsi="Arial" w:cs="Arial"/>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E562D7" w:rsidP="00D76ACB">
            <w:pPr>
              <w:jc w:val="right"/>
              <w:rPr>
                <w:rFonts w:ascii="Arial" w:hAnsi="Arial" w:cs="Arial"/>
                <w:sz w:val="17"/>
                <w:szCs w:val="17"/>
              </w:rPr>
            </w:pPr>
            <w:r>
              <w:rPr>
                <w:rFonts w:ascii="Arial" w:hAnsi="Arial" w:cs="Arial"/>
                <w:sz w:val="17"/>
                <w:szCs w:val="17"/>
              </w:rPr>
              <w:t>26,276,607,736</w:t>
            </w:r>
            <w:r w:rsidR="00D76ACB" w:rsidRPr="00BA272D">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D76ACB" w:rsidRPr="00BA272D" w:rsidRDefault="00D76ACB" w:rsidP="00D76ACB">
            <w:pPr>
              <w:jc w:val="right"/>
              <w:rPr>
                <w:rFonts w:ascii="Arial" w:hAnsi="Arial" w:cs="Arial"/>
                <w:sz w:val="17"/>
                <w:szCs w:val="17"/>
              </w:rPr>
            </w:pPr>
            <w:r w:rsidRPr="00BA272D">
              <w:rPr>
                <w:rFonts w:ascii="Arial" w:hAnsi="Arial" w:cs="Arial"/>
                <w:sz w:val="17"/>
                <w:szCs w:val="17"/>
              </w:rPr>
              <w:t xml:space="preserve"> 26,048,393,212 </w:t>
            </w:r>
          </w:p>
        </w:tc>
      </w:tr>
      <w:tr w:rsidR="00D76ACB" w:rsidRPr="00BA272D" w:rsidTr="001B2092">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6ACB" w:rsidRPr="00BA272D" w:rsidRDefault="00D76ACB" w:rsidP="00D76ACB">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nil"/>
            </w:tcBorders>
            <w:shd w:val="clear" w:color="auto" w:fill="BFBFBF" w:themeFill="background1" w:themeFillShade="BF"/>
            <w:hideMark/>
          </w:tcPr>
          <w:p w:rsidR="00D76ACB" w:rsidRPr="00E562D7" w:rsidRDefault="00E562D7" w:rsidP="005459EB">
            <w:pPr>
              <w:jc w:val="right"/>
              <w:rPr>
                <w:rFonts w:ascii="Arial" w:hAnsi="Arial" w:cs="Arial"/>
                <w:b/>
                <w:sz w:val="17"/>
                <w:szCs w:val="17"/>
              </w:rPr>
            </w:pPr>
            <w:r w:rsidRPr="00E562D7">
              <w:rPr>
                <w:rFonts w:ascii="Arial" w:hAnsi="Arial" w:cs="Arial"/>
                <w:b/>
                <w:sz w:val="17"/>
                <w:szCs w:val="17"/>
              </w:rPr>
              <w:t>26,304,738,02</w:t>
            </w:r>
            <w:r w:rsidR="005459EB">
              <w:rPr>
                <w:rFonts w:ascii="Arial" w:hAnsi="Arial" w:cs="Arial"/>
                <w:b/>
                <w:sz w:val="17"/>
                <w:szCs w:val="17"/>
              </w:rPr>
              <w:t>8</w:t>
            </w:r>
            <w:r w:rsidR="00D76ACB" w:rsidRPr="00E562D7">
              <w:rPr>
                <w:rFonts w:ascii="Arial" w:hAnsi="Arial" w:cs="Arial"/>
                <w:b/>
                <w:sz w:val="17"/>
                <w:szCs w:val="17"/>
              </w:rPr>
              <w:t xml:space="preserve"> </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76ACB" w:rsidRPr="00E562D7" w:rsidRDefault="00D76ACB" w:rsidP="00D76ACB">
            <w:pPr>
              <w:jc w:val="right"/>
              <w:rPr>
                <w:rFonts w:ascii="Arial" w:hAnsi="Arial" w:cs="Arial"/>
                <w:b/>
                <w:sz w:val="17"/>
                <w:szCs w:val="17"/>
              </w:rPr>
            </w:pPr>
            <w:r w:rsidRPr="00E562D7">
              <w:rPr>
                <w:rFonts w:ascii="Arial" w:hAnsi="Arial" w:cs="Arial"/>
                <w:b/>
                <w:sz w:val="17"/>
                <w:szCs w:val="17"/>
              </w:rPr>
              <w:t xml:space="preserve"> 26,113,959,678 </w:t>
            </w:r>
          </w:p>
        </w:tc>
      </w:tr>
    </w:tbl>
    <w:p w:rsidR="00F71E5C" w:rsidRPr="00BA272D" w:rsidRDefault="00F71E5C" w:rsidP="00F71E5C">
      <w:pPr>
        <w:spacing w:before="13" w:line="250" w:lineRule="exact"/>
        <w:ind w:left="708"/>
        <w:jc w:val="both"/>
        <w:rPr>
          <w:rFonts w:ascii="Arial" w:eastAsia="Calibri" w:hAnsi="Arial" w:cs="Arial"/>
          <w:b/>
          <w:spacing w:val="-1"/>
          <w:sz w:val="17"/>
          <w:szCs w:val="17"/>
        </w:rPr>
      </w:pPr>
    </w:p>
    <w:p w:rsidR="003822F9" w:rsidRDefault="003822F9" w:rsidP="003B1811">
      <w:pPr>
        <w:spacing w:before="13" w:line="250" w:lineRule="exact"/>
        <w:ind w:left="708"/>
        <w:jc w:val="both"/>
        <w:rPr>
          <w:rFonts w:ascii="Arial" w:eastAsia="Calibri" w:hAnsi="Arial" w:cs="Arial"/>
          <w:spacing w:val="-1"/>
          <w:sz w:val="17"/>
          <w:szCs w:val="17"/>
        </w:rPr>
      </w:pPr>
    </w:p>
    <w:p w:rsidR="003822F9" w:rsidRDefault="003822F9" w:rsidP="003B1811">
      <w:pPr>
        <w:spacing w:before="13" w:line="250" w:lineRule="exact"/>
        <w:ind w:left="708"/>
        <w:jc w:val="both"/>
        <w:rPr>
          <w:rFonts w:ascii="Arial" w:eastAsia="Calibri" w:hAnsi="Arial" w:cs="Arial"/>
          <w:spacing w:val="-1"/>
          <w:sz w:val="17"/>
          <w:szCs w:val="17"/>
        </w:rPr>
      </w:pPr>
    </w:p>
    <w:p w:rsidR="003822F9" w:rsidRDefault="003822F9" w:rsidP="003B1811">
      <w:pPr>
        <w:spacing w:before="13" w:line="250" w:lineRule="exact"/>
        <w:ind w:left="708"/>
        <w:jc w:val="both"/>
        <w:rPr>
          <w:rFonts w:ascii="Arial" w:eastAsia="Calibri" w:hAnsi="Arial" w:cs="Arial"/>
          <w:spacing w:val="-1"/>
          <w:sz w:val="17"/>
          <w:szCs w:val="17"/>
        </w:rPr>
      </w:pPr>
    </w:p>
    <w:p w:rsidR="003822F9" w:rsidRDefault="003822F9" w:rsidP="003B1811">
      <w:pPr>
        <w:spacing w:before="13" w:line="250" w:lineRule="exact"/>
        <w:ind w:left="708"/>
        <w:jc w:val="both"/>
        <w:rPr>
          <w:rFonts w:ascii="Arial" w:eastAsia="Calibri" w:hAnsi="Arial" w:cs="Arial"/>
          <w:spacing w:val="-1"/>
          <w:sz w:val="17"/>
          <w:szCs w:val="17"/>
        </w:rPr>
      </w:pPr>
    </w:p>
    <w:p w:rsidR="003822F9" w:rsidRDefault="003822F9" w:rsidP="003B1811">
      <w:pPr>
        <w:spacing w:before="13" w:line="250" w:lineRule="exact"/>
        <w:ind w:left="708"/>
        <w:jc w:val="both"/>
        <w:rPr>
          <w:rFonts w:ascii="Arial" w:eastAsia="Calibri" w:hAnsi="Arial" w:cs="Arial"/>
          <w:spacing w:val="-1"/>
          <w:sz w:val="17"/>
          <w:szCs w:val="17"/>
        </w:rPr>
      </w:pPr>
    </w:p>
    <w:p w:rsidR="003822F9" w:rsidRDefault="003822F9" w:rsidP="003B1811">
      <w:pPr>
        <w:spacing w:before="13" w:line="250" w:lineRule="exact"/>
        <w:ind w:left="708"/>
        <w:jc w:val="both"/>
        <w:rPr>
          <w:rFonts w:ascii="Arial" w:eastAsia="Calibri" w:hAnsi="Arial" w:cs="Arial"/>
          <w:spacing w:val="-1"/>
          <w:sz w:val="17"/>
          <w:szCs w:val="17"/>
        </w:rPr>
      </w:pPr>
    </w:p>
    <w:p w:rsidR="00F71E5C" w:rsidRPr="00BA272D" w:rsidRDefault="00F71E5C" w:rsidP="003B1811">
      <w:pPr>
        <w:spacing w:before="13" w:line="250" w:lineRule="exact"/>
        <w:ind w:left="708"/>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El saldo que se presenta </w:t>
      </w:r>
      <w:r w:rsidR="003822F9" w:rsidRPr="003822F9">
        <w:rPr>
          <w:rFonts w:ascii="Arial" w:eastAsia="Calibri" w:hAnsi="Arial" w:cs="Arial"/>
          <w:spacing w:val="-1"/>
          <w:sz w:val="17"/>
          <w:szCs w:val="17"/>
        </w:rPr>
        <w:t>al 31 de diciembre de 2021</w:t>
      </w:r>
      <w:r w:rsidR="003822F9">
        <w:rPr>
          <w:rFonts w:ascii="Arial" w:eastAsia="Calibri" w:hAnsi="Arial" w:cs="Arial"/>
          <w:spacing w:val="-1"/>
          <w:sz w:val="17"/>
          <w:szCs w:val="17"/>
        </w:rPr>
        <w:t xml:space="preserve"> </w:t>
      </w:r>
      <w:r w:rsidRPr="00BA272D">
        <w:rPr>
          <w:rFonts w:ascii="Arial" w:eastAsia="Calibri" w:hAnsi="Arial" w:cs="Arial"/>
          <w:spacing w:val="-1"/>
          <w:sz w:val="17"/>
          <w:szCs w:val="17"/>
        </w:rPr>
        <w:t xml:space="preserve">en Fideicomisos, Mandatos y Contratos Análogos </w:t>
      </w:r>
      <w:r w:rsidR="007E1A00" w:rsidRPr="00BA272D">
        <w:rPr>
          <w:rFonts w:ascii="Arial" w:eastAsia="Calibri" w:hAnsi="Arial" w:cs="Arial"/>
          <w:spacing w:val="-1"/>
          <w:sz w:val="17"/>
          <w:szCs w:val="17"/>
        </w:rPr>
        <w:t xml:space="preserve">corresponde </w:t>
      </w:r>
      <w:r w:rsidRPr="00BA272D">
        <w:rPr>
          <w:rFonts w:ascii="Arial" w:eastAsia="Calibri" w:hAnsi="Arial" w:cs="Arial"/>
          <w:spacing w:val="-1"/>
          <w:sz w:val="17"/>
          <w:szCs w:val="17"/>
        </w:rPr>
        <w:t>al reconocimie</w:t>
      </w:r>
      <w:r w:rsidR="00B51A2E">
        <w:rPr>
          <w:rFonts w:ascii="Arial" w:eastAsia="Calibri" w:hAnsi="Arial" w:cs="Arial"/>
          <w:spacing w:val="-1"/>
          <w:sz w:val="17"/>
          <w:szCs w:val="17"/>
        </w:rPr>
        <w:t xml:space="preserve">nto en cuentas de Activo de los </w:t>
      </w:r>
      <w:r w:rsidRPr="00BA272D">
        <w:rPr>
          <w:rFonts w:ascii="Arial" w:eastAsia="Calibri" w:hAnsi="Arial" w:cs="Arial"/>
          <w:spacing w:val="-1"/>
          <w:sz w:val="17"/>
          <w:szCs w:val="17"/>
        </w:rPr>
        <w:t xml:space="preserve">Fideicomisos en los cuales el Poder Ejecutivo es </w:t>
      </w:r>
      <w:r w:rsidRPr="003822F9">
        <w:rPr>
          <w:rFonts w:ascii="Arial" w:eastAsia="Calibri" w:hAnsi="Arial" w:cs="Arial"/>
          <w:spacing w:val="-1"/>
          <w:sz w:val="17"/>
          <w:szCs w:val="17"/>
        </w:rPr>
        <w:t>Fideicomitente</w:t>
      </w:r>
      <w:r w:rsidR="003822F9">
        <w:rPr>
          <w:rFonts w:ascii="Arial" w:eastAsia="Calibri" w:hAnsi="Arial" w:cs="Arial"/>
          <w:spacing w:val="-1"/>
          <w:sz w:val="17"/>
          <w:szCs w:val="17"/>
        </w:rPr>
        <w:t xml:space="preserve"> y se integra de la siguiente forma:</w:t>
      </w:r>
    </w:p>
    <w:p w:rsidR="00F71E5C" w:rsidRPr="00BA272D" w:rsidRDefault="002B2C20" w:rsidP="00F71E5C">
      <w:pPr>
        <w:autoSpaceDE w:val="0"/>
        <w:autoSpaceDN w:val="0"/>
        <w:adjustRightInd w:val="0"/>
        <w:spacing w:before="240"/>
        <w:jc w:val="center"/>
        <w:rPr>
          <w:rFonts w:ascii="Arial" w:eastAsia="Calibri" w:hAnsi="Arial" w:cs="Arial"/>
          <w:b/>
          <w:spacing w:val="-1"/>
          <w:sz w:val="17"/>
          <w:szCs w:val="17"/>
        </w:rPr>
      </w:pPr>
      <w:r>
        <w:rPr>
          <w:rFonts w:ascii="Arial" w:eastAsia="Calibri" w:hAnsi="Arial" w:cs="Arial"/>
          <w:b/>
          <w:spacing w:val="-1"/>
          <w:sz w:val="17"/>
          <w:szCs w:val="17"/>
        </w:rPr>
        <w:t xml:space="preserve">                            </w:t>
      </w:r>
      <w:r w:rsidRPr="00BA272D">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W w:w="0" w:type="auto"/>
        <w:tblInd w:w="2813" w:type="dxa"/>
        <w:tblCellMar>
          <w:left w:w="70" w:type="dxa"/>
          <w:right w:w="70" w:type="dxa"/>
        </w:tblCellMar>
        <w:tblLook w:val="04A0" w:firstRow="1" w:lastRow="0" w:firstColumn="1" w:lastColumn="0" w:noHBand="0" w:noVBand="1"/>
      </w:tblPr>
      <w:tblGrid>
        <w:gridCol w:w="7048"/>
        <w:gridCol w:w="991"/>
      </w:tblGrid>
      <w:tr w:rsidR="00F71E5C" w:rsidRPr="00BA272D" w:rsidTr="001B2092">
        <w:trPr>
          <w:trHeight w:val="386"/>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Fideicomiso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r>
      <w:tr w:rsidR="007E1A00"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7E1A00" w:rsidRPr="00BA272D" w:rsidRDefault="007E1A00" w:rsidP="00F71E5C">
            <w:pPr>
              <w:rPr>
                <w:rFonts w:ascii="Arial" w:hAnsi="Arial" w:cs="Arial"/>
                <w:sz w:val="17"/>
                <w:szCs w:val="17"/>
              </w:rPr>
            </w:pPr>
            <w:r w:rsidRPr="00BA272D">
              <w:rPr>
                <w:rFonts w:ascii="Arial" w:hAnsi="Arial" w:cs="Arial"/>
                <w:sz w:val="17"/>
                <w:szCs w:val="17"/>
              </w:rPr>
              <w:t>Fideicomiso Irrevocable de Administración, Inversión, Garantía y fuente de pago No 592</w:t>
            </w:r>
          </w:p>
        </w:tc>
        <w:tc>
          <w:tcPr>
            <w:tcW w:w="0" w:type="auto"/>
            <w:tcBorders>
              <w:top w:val="single" w:sz="4" w:space="0" w:color="auto"/>
              <w:left w:val="nil"/>
              <w:bottom w:val="single" w:sz="4" w:space="0" w:color="auto"/>
              <w:right w:val="single" w:sz="4" w:space="0" w:color="auto"/>
            </w:tcBorders>
            <w:shd w:val="clear" w:color="auto" w:fill="auto"/>
          </w:tcPr>
          <w:p w:rsidR="007E1A00" w:rsidRPr="00BA272D" w:rsidRDefault="003C0C89" w:rsidP="00F71E5C">
            <w:pPr>
              <w:jc w:val="right"/>
              <w:rPr>
                <w:rFonts w:ascii="Arial" w:hAnsi="Arial" w:cs="Arial"/>
                <w:sz w:val="17"/>
                <w:szCs w:val="17"/>
              </w:rPr>
            </w:pPr>
            <w:r w:rsidRPr="00BA272D">
              <w:rPr>
                <w:rFonts w:ascii="Arial" w:hAnsi="Arial" w:cs="Arial"/>
                <w:sz w:val="17"/>
                <w:szCs w:val="17"/>
              </w:rPr>
              <w:t>1,000</w:t>
            </w:r>
          </w:p>
        </w:tc>
      </w:tr>
      <w:tr w:rsidR="007E1A00"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7E1A00" w:rsidRPr="00BA272D" w:rsidRDefault="007E1A00" w:rsidP="00F71E5C">
            <w:pPr>
              <w:rPr>
                <w:rFonts w:ascii="Arial" w:hAnsi="Arial" w:cs="Arial"/>
                <w:sz w:val="17"/>
                <w:szCs w:val="17"/>
              </w:rPr>
            </w:pPr>
            <w:r w:rsidRPr="00BA272D">
              <w:rPr>
                <w:rFonts w:ascii="Arial" w:hAnsi="Arial" w:cs="Arial"/>
                <w:sz w:val="17"/>
                <w:szCs w:val="17"/>
              </w:rPr>
              <w:t>Fideicomiso Irrevocable de Administración, Garantía y pago numero 741962</w:t>
            </w:r>
          </w:p>
        </w:tc>
        <w:tc>
          <w:tcPr>
            <w:tcW w:w="0" w:type="auto"/>
            <w:tcBorders>
              <w:top w:val="single" w:sz="4" w:space="0" w:color="auto"/>
              <w:left w:val="nil"/>
              <w:bottom w:val="single" w:sz="4" w:space="0" w:color="auto"/>
              <w:right w:val="single" w:sz="4" w:space="0" w:color="auto"/>
            </w:tcBorders>
            <w:shd w:val="clear" w:color="auto" w:fill="auto"/>
          </w:tcPr>
          <w:p w:rsidR="007E1A00" w:rsidRPr="00BA272D" w:rsidRDefault="007E1A00" w:rsidP="003C0C89">
            <w:pPr>
              <w:jc w:val="right"/>
              <w:rPr>
                <w:rFonts w:ascii="Arial" w:hAnsi="Arial" w:cs="Arial"/>
                <w:sz w:val="17"/>
                <w:szCs w:val="17"/>
              </w:rPr>
            </w:pPr>
            <w:r w:rsidRPr="00BA272D">
              <w:rPr>
                <w:rFonts w:ascii="Arial" w:hAnsi="Arial" w:cs="Arial"/>
                <w:sz w:val="17"/>
                <w:szCs w:val="17"/>
              </w:rPr>
              <w:t>104,</w:t>
            </w:r>
            <w:r w:rsidR="00F65C9A" w:rsidRPr="00BA272D">
              <w:rPr>
                <w:rFonts w:ascii="Arial" w:hAnsi="Arial" w:cs="Arial"/>
                <w:sz w:val="17"/>
                <w:szCs w:val="17"/>
              </w:rPr>
              <w:t>233</w:t>
            </w:r>
          </w:p>
        </w:tc>
      </w:tr>
      <w:tr w:rsidR="00F71E5C"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Fondo de Fomento Agropecuario del Estado de Querétaro (FOFAE)</w:t>
            </w:r>
          </w:p>
        </w:tc>
        <w:tc>
          <w:tcPr>
            <w:tcW w:w="0" w:type="auto"/>
            <w:tcBorders>
              <w:top w:val="single" w:sz="4" w:space="0" w:color="auto"/>
              <w:left w:val="nil"/>
              <w:bottom w:val="single" w:sz="4" w:space="0" w:color="auto"/>
              <w:right w:val="single" w:sz="4" w:space="0" w:color="auto"/>
            </w:tcBorders>
            <w:shd w:val="clear" w:color="auto" w:fill="auto"/>
          </w:tcPr>
          <w:p w:rsidR="00F71E5C" w:rsidRPr="00BA272D" w:rsidRDefault="00F65C9A" w:rsidP="007E1A00">
            <w:pPr>
              <w:jc w:val="right"/>
              <w:rPr>
                <w:rFonts w:ascii="Arial" w:hAnsi="Arial" w:cs="Arial"/>
                <w:sz w:val="17"/>
                <w:szCs w:val="17"/>
              </w:rPr>
            </w:pPr>
            <w:r w:rsidRPr="00BA272D">
              <w:rPr>
                <w:rFonts w:ascii="Arial" w:hAnsi="Arial" w:cs="Arial"/>
                <w:sz w:val="17"/>
                <w:szCs w:val="17"/>
              </w:rPr>
              <w:t>5,054,261</w:t>
            </w:r>
          </w:p>
        </w:tc>
      </w:tr>
      <w:tr w:rsidR="00F71E5C"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Fideicomiso Promotor de Turismo en el Estado de Querétaro (FIPROTUR)</w:t>
            </w:r>
          </w:p>
        </w:tc>
        <w:tc>
          <w:tcPr>
            <w:tcW w:w="0" w:type="auto"/>
            <w:tcBorders>
              <w:top w:val="single" w:sz="4" w:space="0" w:color="auto"/>
              <w:left w:val="nil"/>
              <w:bottom w:val="single" w:sz="4" w:space="0" w:color="auto"/>
              <w:right w:val="single" w:sz="4" w:space="0" w:color="auto"/>
            </w:tcBorders>
            <w:shd w:val="clear" w:color="auto" w:fill="auto"/>
          </w:tcPr>
          <w:p w:rsidR="00F71E5C" w:rsidRPr="00BA272D" w:rsidRDefault="00F65C9A" w:rsidP="007E1A00">
            <w:pPr>
              <w:jc w:val="right"/>
              <w:rPr>
                <w:rFonts w:ascii="Arial" w:hAnsi="Arial" w:cs="Arial"/>
                <w:sz w:val="17"/>
                <w:szCs w:val="17"/>
              </w:rPr>
            </w:pPr>
            <w:r w:rsidRPr="00BA272D">
              <w:rPr>
                <w:rFonts w:ascii="Arial" w:hAnsi="Arial" w:cs="Arial"/>
                <w:sz w:val="17"/>
                <w:szCs w:val="17"/>
              </w:rPr>
              <w:t>4,315,422</w:t>
            </w:r>
          </w:p>
        </w:tc>
      </w:tr>
      <w:tr w:rsidR="00F71E5C"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Fideicomiso Ciudad Industrial Benito Juárez (FIDEQRO)</w:t>
            </w:r>
          </w:p>
        </w:tc>
        <w:tc>
          <w:tcPr>
            <w:tcW w:w="0" w:type="auto"/>
            <w:tcBorders>
              <w:top w:val="single" w:sz="4" w:space="0" w:color="auto"/>
              <w:left w:val="nil"/>
              <w:bottom w:val="single" w:sz="4" w:space="0" w:color="auto"/>
              <w:right w:val="single" w:sz="4" w:space="0" w:color="auto"/>
            </w:tcBorders>
            <w:shd w:val="clear" w:color="auto" w:fill="auto"/>
          </w:tcPr>
          <w:p w:rsidR="00F71E5C" w:rsidRPr="00BA272D" w:rsidRDefault="00F65C9A" w:rsidP="00F71E5C">
            <w:pPr>
              <w:jc w:val="right"/>
              <w:rPr>
                <w:rFonts w:ascii="Arial" w:hAnsi="Arial" w:cs="Arial"/>
                <w:sz w:val="17"/>
                <w:szCs w:val="17"/>
                <w:highlight w:val="yellow"/>
              </w:rPr>
            </w:pPr>
            <w:r w:rsidRPr="00BA272D">
              <w:rPr>
                <w:rFonts w:ascii="Arial" w:hAnsi="Arial" w:cs="Arial"/>
                <w:sz w:val="17"/>
                <w:szCs w:val="17"/>
              </w:rPr>
              <w:t>554,727</w:t>
            </w:r>
          </w:p>
        </w:tc>
      </w:tr>
      <w:tr w:rsidR="00F71E5C"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Fideicomiso Irrevocable de Inversión, Administración y Garantía (FIRE2000)</w:t>
            </w:r>
          </w:p>
        </w:tc>
        <w:tc>
          <w:tcPr>
            <w:tcW w:w="0" w:type="auto"/>
            <w:tcBorders>
              <w:top w:val="single" w:sz="4" w:space="0" w:color="auto"/>
              <w:left w:val="nil"/>
              <w:bottom w:val="single" w:sz="4" w:space="0" w:color="auto"/>
              <w:right w:val="single" w:sz="4" w:space="0" w:color="auto"/>
            </w:tcBorders>
            <w:shd w:val="clear" w:color="auto" w:fill="auto"/>
          </w:tcPr>
          <w:p w:rsidR="00F71E5C" w:rsidRPr="00BA272D" w:rsidRDefault="003C0C89" w:rsidP="00F71E5C">
            <w:pPr>
              <w:jc w:val="right"/>
              <w:rPr>
                <w:rFonts w:ascii="Arial" w:hAnsi="Arial" w:cs="Arial"/>
                <w:sz w:val="17"/>
                <w:szCs w:val="17"/>
                <w:highlight w:val="yellow"/>
              </w:rPr>
            </w:pPr>
            <w:r w:rsidRPr="00BA272D">
              <w:rPr>
                <w:rFonts w:ascii="Arial" w:hAnsi="Arial" w:cs="Arial"/>
                <w:sz w:val="17"/>
                <w:szCs w:val="17"/>
              </w:rPr>
              <w:t>204,247</w:t>
            </w:r>
          </w:p>
        </w:tc>
      </w:tr>
      <w:tr w:rsidR="00F71E5C"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Fideicomiso Fondo de Diversificación Productiva en la Sierra Gorda</w:t>
            </w:r>
          </w:p>
        </w:tc>
        <w:tc>
          <w:tcPr>
            <w:tcW w:w="0" w:type="auto"/>
            <w:tcBorders>
              <w:top w:val="single" w:sz="4" w:space="0" w:color="auto"/>
              <w:left w:val="nil"/>
              <w:bottom w:val="single" w:sz="4" w:space="0" w:color="auto"/>
              <w:right w:val="single" w:sz="4" w:space="0" w:color="auto"/>
            </w:tcBorders>
            <w:shd w:val="clear" w:color="auto" w:fill="auto"/>
          </w:tcPr>
          <w:p w:rsidR="00F71E5C" w:rsidRPr="00BA272D" w:rsidRDefault="00F65C9A" w:rsidP="00F71E5C">
            <w:pPr>
              <w:jc w:val="right"/>
              <w:rPr>
                <w:rFonts w:ascii="Arial" w:hAnsi="Arial" w:cs="Arial"/>
                <w:sz w:val="17"/>
                <w:szCs w:val="17"/>
                <w:highlight w:val="yellow"/>
              </w:rPr>
            </w:pPr>
            <w:r w:rsidRPr="00BA272D">
              <w:rPr>
                <w:rFonts w:ascii="Arial" w:hAnsi="Arial" w:cs="Arial"/>
                <w:sz w:val="17"/>
                <w:szCs w:val="17"/>
              </w:rPr>
              <w:t>1,146,696</w:t>
            </w:r>
          </w:p>
        </w:tc>
      </w:tr>
      <w:tr w:rsidR="00F71E5C" w:rsidRPr="00BA272D" w:rsidTr="007075EB">
        <w:trPr>
          <w:trHeight w:val="27"/>
        </w:trPr>
        <w:tc>
          <w:tcPr>
            <w:tcW w:w="0" w:type="auto"/>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Fideicomiso de Garantía para Proyectos Productivos del Estado de Querétaro (FIGAPPEQ)</w:t>
            </w:r>
          </w:p>
        </w:tc>
        <w:tc>
          <w:tcPr>
            <w:tcW w:w="0" w:type="auto"/>
            <w:tcBorders>
              <w:top w:val="single" w:sz="4" w:space="0" w:color="auto"/>
              <w:left w:val="nil"/>
              <w:bottom w:val="single" w:sz="4" w:space="0" w:color="auto"/>
              <w:right w:val="single" w:sz="4" w:space="0" w:color="auto"/>
            </w:tcBorders>
            <w:shd w:val="clear" w:color="auto" w:fill="auto"/>
          </w:tcPr>
          <w:p w:rsidR="00F71E5C" w:rsidRPr="00BA272D" w:rsidRDefault="00F65C9A" w:rsidP="007E1A00">
            <w:pPr>
              <w:jc w:val="right"/>
              <w:rPr>
                <w:rFonts w:ascii="Arial" w:hAnsi="Arial" w:cs="Arial"/>
                <w:sz w:val="17"/>
                <w:szCs w:val="17"/>
              </w:rPr>
            </w:pPr>
            <w:r w:rsidRPr="00BA272D">
              <w:rPr>
                <w:rFonts w:ascii="Arial" w:hAnsi="Arial" w:cs="Arial"/>
                <w:sz w:val="17"/>
                <w:szCs w:val="17"/>
              </w:rPr>
              <w:t>16,749,706</w:t>
            </w:r>
          </w:p>
        </w:tc>
      </w:tr>
      <w:tr w:rsidR="00F71E5C" w:rsidRPr="00BA272D" w:rsidTr="001B2092">
        <w:trPr>
          <w:trHeight w:val="240"/>
        </w:trPr>
        <w:tc>
          <w:tcPr>
            <w:tcW w:w="0" w:type="auto"/>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F71E5C" w:rsidRPr="00BA272D" w:rsidRDefault="00F71E5C" w:rsidP="00F71E5C">
            <w:pPr>
              <w:jc w:val="center"/>
              <w:rPr>
                <w:rFonts w:ascii="Arial" w:hAnsi="Arial" w:cs="Arial"/>
                <w:b/>
                <w:color w:val="000000"/>
                <w:sz w:val="17"/>
                <w:szCs w:val="17"/>
              </w:rPr>
            </w:pPr>
            <w:r w:rsidRPr="00BA272D">
              <w:rPr>
                <w:rFonts w:ascii="Arial" w:hAnsi="Arial" w:cs="Arial"/>
                <w:b/>
                <w:color w:val="000000"/>
                <w:sz w:val="17"/>
                <w:szCs w:val="17"/>
              </w:rPr>
              <w:t>Total</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1E5C" w:rsidRPr="00BA272D" w:rsidRDefault="00F65C9A" w:rsidP="00F71E5C">
            <w:pPr>
              <w:jc w:val="right"/>
              <w:rPr>
                <w:rFonts w:ascii="Arial" w:hAnsi="Arial" w:cs="Arial"/>
                <w:b/>
                <w:sz w:val="17"/>
                <w:szCs w:val="17"/>
              </w:rPr>
            </w:pPr>
            <w:r w:rsidRPr="00BA272D">
              <w:rPr>
                <w:rFonts w:ascii="Arial" w:hAnsi="Arial" w:cs="Arial"/>
                <w:b/>
                <w:sz w:val="17"/>
                <w:szCs w:val="17"/>
              </w:rPr>
              <w:t>28,130,292</w:t>
            </w:r>
          </w:p>
        </w:tc>
      </w:tr>
    </w:tbl>
    <w:p w:rsidR="00F71E5C" w:rsidRDefault="00F71E5C" w:rsidP="00F71E5C">
      <w:pPr>
        <w:rPr>
          <w:rFonts w:ascii="Arial" w:eastAsia="Calibri" w:hAnsi="Arial" w:cs="Arial"/>
          <w:spacing w:val="-1"/>
          <w:sz w:val="17"/>
          <w:szCs w:val="17"/>
        </w:rPr>
      </w:pPr>
    </w:p>
    <w:p w:rsidR="00A12B07" w:rsidRPr="00BA272D" w:rsidRDefault="00A12B07" w:rsidP="00F71E5C">
      <w:pPr>
        <w:rPr>
          <w:rFonts w:ascii="Arial" w:eastAsia="Calibri" w:hAnsi="Arial" w:cs="Arial"/>
          <w:spacing w:val="-1"/>
          <w:sz w:val="17"/>
          <w:szCs w:val="17"/>
        </w:rPr>
      </w:pPr>
    </w:p>
    <w:p w:rsidR="00F71E5C" w:rsidRPr="00BA272D" w:rsidRDefault="00F71E5C" w:rsidP="00F71E5C">
      <w:pPr>
        <w:spacing w:before="80" w:line="250" w:lineRule="exact"/>
        <w:ind w:left="709"/>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la integración del saldo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xml:space="preserve"> de la cuenta Participaciones y Aportaciones de Capital:</w:t>
      </w:r>
    </w:p>
    <w:p w:rsidR="00F71E5C" w:rsidRPr="00BA272D" w:rsidRDefault="00F71E5C" w:rsidP="00F71E5C">
      <w:pPr>
        <w:autoSpaceDE w:val="0"/>
        <w:autoSpaceDN w:val="0"/>
        <w:adjustRightInd w:val="0"/>
        <w:spacing w:before="24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5949" w:type="dxa"/>
        <w:tblInd w:w="3809" w:type="dxa"/>
        <w:tblCellMar>
          <w:left w:w="70" w:type="dxa"/>
          <w:right w:w="70" w:type="dxa"/>
        </w:tblCellMar>
        <w:tblLook w:val="04A0" w:firstRow="1" w:lastRow="0" w:firstColumn="1" w:lastColumn="0" w:noHBand="0" w:noVBand="1"/>
      </w:tblPr>
      <w:tblGrid>
        <w:gridCol w:w="4390"/>
        <w:gridCol w:w="1559"/>
      </w:tblGrid>
      <w:tr w:rsidR="00F71E5C" w:rsidRPr="00BA272D" w:rsidTr="001B2092">
        <w:trPr>
          <w:trHeight w:val="240"/>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Concepto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r>
      <w:tr w:rsidR="00E71057" w:rsidRPr="00BA272D" w:rsidTr="006B636B">
        <w:trPr>
          <w:trHeight w:val="133"/>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E71057" w:rsidRPr="00BA272D" w:rsidRDefault="00E71057" w:rsidP="00E71057">
            <w:pPr>
              <w:rPr>
                <w:rFonts w:ascii="Arial" w:hAnsi="Arial" w:cs="Arial"/>
                <w:sz w:val="17"/>
                <w:szCs w:val="17"/>
              </w:rPr>
            </w:pPr>
            <w:r w:rsidRPr="00BA272D">
              <w:rPr>
                <w:rFonts w:ascii="Arial" w:hAnsi="Arial" w:cs="Arial"/>
                <w:sz w:val="17"/>
                <w:szCs w:val="17"/>
              </w:rPr>
              <w:t>Centro Sur, S.A. de C.V.</w:t>
            </w:r>
          </w:p>
        </w:tc>
        <w:tc>
          <w:tcPr>
            <w:tcW w:w="1559" w:type="dxa"/>
            <w:tcBorders>
              <w:top w:val="single" w:sz="4" w:space="0" w:color="auto"/>
              <w:left w:val="nil"/>
              <w:bottom w:val="single" w:sz="4" w:space="0" w:color="auto"/>
              <w:right w:val="single" w:sz="4" w:space="0" w:color="auto"/>
            </w:tcBorders>
            <w:shd w:val="clear" w:color="auto" w:fill="auto"/>
            <w:hideMark/>
          </w:tcPr>
          <w:p w:rsidR="00E71057" w:rsidRPr="00BA272D" w:rsidRDefault="00E71057" w:rsidP="00E71057">
            <w:pPr>
              <w:jc w:val="right"/>
              <w:rPr>
                <w:rFonts w:ascii="Arial" w:hAnsi="Arial" w:cs="Arial"/>
                <w:sz w:val="17"/>
                <w:szCs w:val="17"/>
                <w:highlight w:val="yellow"/>
              </w:rPr>
            </w:pPr>
            <w:r w:rsidRPr="00BA272D">
              <w:rPr>
                <w:rFonts w:ascii="Arial" w:hAnsi="Arial" w:cs="Arial"/>
                <w:sz w:val="17"/>
                <w:szCs w:val="17"/>
              </w:rPr>
              <w:t xml:space="preserve"> 159,989,750 </w:t>
            </w:r>
          </w:p>
        </w:tc>
      </w:tr>
      <w:tr w:rsidR="00E71057" w:rsidRPr="00BA272D" w:rsidTr="006B636B">
        <w:trPr>
          <w:trHeight w:val="139"/>
        </w:trPr>
        <w:tc>
          <w:tcPr>
            <w:tcW w:w="4390" w:type="dxa"/>
            <w:tcBorders>
              <w:top w:val="nil"/>
              <w:left w:val="single" w:sz="4" w:space="0" w:color="auto"/>
              <w:bottom w:val="single" w:sz="4" w:space="0" w:color="auto"/>
              <w:right w:val="single" w:sz="4" w:space="0" w:color="auto"/>
            </w:tcBorders>
            <w:shd w:val="clear" w:color="auto" w:fill="auto"/>
            <w:hideMark/>
          </w:tcPr>
          <w:p w:rsidR="00E71057" w:rsidRPr="00BA272D" w:rsidRDefault="00E71057" w:rsidP="00E71057">
            <w:pPr>
              <w:rPr>
                <w:rFonts w:ascii="Arial" w:hAnsi="Arial" w:cs="Arial"/>
                <w:sz w:val="17"/>
                <w:szCs w:val="17"/>
              </w:rPr>
            </w:pPr>
            <w:r w:rsidRPr="00BA272D">
              <w:rPr>
                <w:rFonts w:ascii="Arial" w:hAnsi="Arial" w:cs="Arial"/>
                <w:sz w:val="17"/>
                <w:szCs w:val="17"/>
              </w:rPr>
              <w:t>Participación en Paraestatales</w:t>
            </w:r>
          </w:p>
        </w:tc>
        <w:tc>
          <w:tcPr>
            <w:tcW w:w="1559" w:type="dxa"/>
            <w:tcBorders>
              <w:top w:val="nil"/>
              <w:left w:val="nil"/>
              <w:bottom w:val="single" w:sz="4" w:space="0" w:color="auto"/>
              <w:right w:val="single" w:sz="4" w:space="0" w:color="auto"/>
            </w:tcBorders>
            <w:shd w:val="clear" w:color="auto" w:fill="auto"/>
            <w:hideMark/>
          </w:tcPr>
          <w:p w:rsidR="00E71057" w:rsidRPr="00BA272D" w:rsidRDefault="00721D7B" w:rsidP="00E71057">
            <w:pPr>
              <w:jc w:val="right"/>
              <w:rPr>
                <w:rFonts w:ascii="Arial" w:hAnsi="Arial" w:cs="Arial"/>
                <w:sz w:val="17"/>
                <w:szCs w:val="17"/>
                <w:highlight w:val="yellow"/>
              </w:rPr>
            </w:pPr>
            <w:r w:rsidRPr="00721D7B">
              <w:rPr>
                <w:rFonts w:ascii="Arial" w:hAnsi="Arial" w:cs="Arial"/>
                <w:sz w:val="17"/>
                <w:szCs w:val="17"/>
              </w:rPr>
              <w:t>26</w:t>
            </w:r>
            <w:r>
              <w:rPr>
                <w:rFonts w:ascii="Arial" w:hAnsi="Arial" w:cs="Arial"/>
                <w:sz w:val="17"/>
                <w:szCs w:val="17"/>
              </w:rPr>
              <w:t>,</w:t>
            </w:r>
            <w:r w:rsidRPr="00721D7B">
              <w:rPr>
                <w:rFonts w:ascii="Arial" w:hAnsi="Arial" w:cs="Arial"/>
                <w:sz w:val="17"/>
                <w:szCs w:val="17"/>
              </w:rPr>
              <w:t>116</w:t>
            </w:r>
            <w:r>
              <w:rPr>
                <w:rFonts w:ascii="Arial" w:hAnsi="Arial" w:cs="Arial"/>
                <w:sz w:val="17"/>
                <w:szCs w:val="17"/>
              </w:rPr>
              <w:t>,</w:t>
            </w:r>
            <w:r w:rsidRPr="00721D7B">
              <w:rPr>
                <w:rFonts w:ascii="Arial" w:hAnsi="Arial" w:cs="Arial"/>
                <w:sz w:val="17"/>
                <w:szCs w:val="17"/>
              </w:rPr>
              <w:t>617</w:t>
            </w:r>
            <w:r>
              <w:rPr>
                <w:rFonts w:ascii="Arial" w:hAnsi="Arial" w:cs="Arial"/>
                <w:sz w:val="17"/>
                <w:szCs w:val="17"/>
              </w:rPr>
              <w:t>,</w:t>
            </w:r>
            <w:r w:rsidRPr="00721D7B">
              <w:rPr>
                <w:rFonts w:ascii="Arial" w:hAnsi="Arial" w:cs="Arial"/>
                <w:sz w:val="17"/>
                <w:szCs w:val="17"/>
              </w:rPr>
              <w:t>986</w:t>
            </w:r>
          </w:p>
        </w:tc>
      </w:tr>
      <w:tr w:rsidR="00E71057" w:rsidRPr="003822F9" w:rsidTr="001B2092">
        <w:trPr>
          <w:trHeight w:val="240"/>
        </w:trPr>
        <w:tc>
          <w:tcPr>
            <w:tcW w:w="4390"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71057" w:rsidRPr="00BA272D" w:rsidRDefault="00E71057" w:rsidP="00E71057">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1057" w:rsidRPr="003822F9" w:rsidRDefault="003822F9" w:rsidP="00721D7B">
            <w:pPr>
              <w:jc w:val="center"/>
              <w:rPr>
                <w:rFonts w:ascii="Arial" w:hAnsi="Arial" w:cs="Arial"/>
                <w:b/>
                <w:sz w:val="17"/>
                <w:szCs w:val="17"/>
              </w:rPr>
            </w:pPr>
            <w:r w:rsidRPr="003822F9">
              <w:rPr>
                <w:rFonts w:ascii="Arial" w:hAnsi="Arial" w:cs="Arial"/>
                <w:b/>
                <w:sz w:val="17"/>
                <w:szCs w:val="17"/>
              </w:rPr>
              <w:t xml:space="preserve">     26,276,607,736</w:t>
            </w:r>
          </w:p>
        </w:tc>
      </w:tr>
    </w:tbl>
    <w:p w:rsidR="008702DD" w:rsidRDefault="00F71E5C" w:rsidP="008702DD">
      <w:pPr>
        <w:spacing w:before="80" w:line="250" w:lineRule="exact"/>
        <w:ind w:left="709"/>
        <w:jc w:val="both"/>
        <w:rPr>
          <w:rFonts w:ascii="Arial" w:eastAsia="Calibri" w:hAnsi="Arial" w:cs="Arial"/>
          <w:spacing w:val="-1"/>
          <w:sz w:val="17"/>
          <w:szCs w:val="17"/>
        </w:rPr>
      </w:pPr>
      <w:r w:rsidRPr="00BA272D">
        <w:rPr>
          <w:rFonts w:ascii="Arial" w:eastAsia="Calibri" w:hAnsi="Arial" w:cs="Arial"/>
          <w:spacing w:val="-1"/>
          <w:sz w:val="17"/>
          <w:szCs w:val="17"/>
        </w:rPr>
        <w:tab/>
      </w:r>
    </w:p>
    <w:p w:rsidR="003822F9" w:rsidRDefault="003822F9" w:rsidP="008702DD">
      <w:pPr>
        <w:spacing w:before="80" w:line="250" w:lineRule="exact"/>
        <w:ind w:left="709"/>
        <w:jc w:val="both"/>
        <w:rPr>
          <w:rFonts w:ascii="Arial" w:eastAsia="Calibri" w:hAnsi="Arial" w:cs="Arial"/>
          <w:spacing w:val="-1"/>
          <w:sz w:val="17"/>
          <w:szCs w:val="17"/>
        </w:rPr>
      </w:pPr>
    </w:p>
    <w:p w:rsidR="00F71E5C" w:rsidRPr="006B636B" w:rsidRDefault="00F71E5C" w:rsidP="006B636B">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6B636B">
        <w:rPr>
          <w:rFonts w:ascii="Arial" w:eastAsia="Calibri" w:hAnsi="Arial" w:cs="Arial"/>
          <w:b/>
          <w:spacing w:val="-1"/>
          <w:sz w:val="17"/>
          <w:szCs w:val="17"/>
        </w:rPr>
        <w:t>Derechos a Recibir Efectivo o Equivalentes a Largo Plazo</w:t>
      </w:r>
    </w:p>
    <w:tbl>
      <w:tblPr>
        <w:tblpPr w:leftFromText="141" w:rightFromText="141" w:vertAnchor="text" w:horzAnchor="page" w:tblpX="5838" w:tblpY="263"/>
        <w:tblW w:w="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2"/>
        <w:gridCol w:w="1228"/>
      </w:tblGrid>
      <w:tr w:rsidR="00A311E1" w:rsidRPr="006B636B" w:rsidTr="001B2092">
        <w:trPr>
          <w:trHeight w:val="225"/>
        </w:trPr>
        <w:tc>
          <w:tcPr>
            <w:tcW w:w="3952" w:type="dxa"/>
            <w:shd w:val="clear" w:color="auto" w:fill="BFBFBF" w:themeFill="background1" w:themeFillShade="BF"/>
            <w:vAlign w:val="center"/>
            <w:hideMark/>
          </w:tcPr>
          <w:p w:rsidR="00A311E1" w:rsidRPr="006B636B" w:rsidRDefault="00A311E1" w:rsidP="00503712">
            <w:pPr>
              <w:ind w:left="918" w:hanging="918"/>
              <w:jc w:val="center"/>
              <w:rPr>
                <w:rFonts w:ascii="Arial" w:hAnsi="Arial" w:cs="Arial"/>
                <w:b/>
                <w:bCs/>
                <w:color w:val="000000"/>
                <w:sz w:val="17"/>
                <w:szCs w:val="17"/>
              </w:rPr>
            </w:pPr>
            <w:r w:rsidRPr="006B636B">
              <w:rPr>
                <w:rFonts w:ascii="Arial" w:hAnsi="Arial" w:cs="Arial"/>
                <w:b/>
                <w:bCs/>
                <w:color w:val="000000"/>
                <w:sz w:val="17"/>
                <w:szCs w:val="17"/>
              </w:rPr>
              <w:t>Concepto</w:t>
            </w:r>
          </w:p>
        </w:tc>
        <w:tc>
          <w:tcPr>
            <w:tcW w:w="1228" w:type="dxa"/>
            <w:shd w:val="clear" w:color="auto" w:fill="BFBFBF" w:themeFill="background1" w:themeFillShade="BF"/>
            <w:vAlign w:val="center"/>
            <w:hideMark/>
          </w:tcPr>
          <w:p w:rsidR="00A311E1" w:rsidRPr="006B636B" w:rsidRDefault="00A311E1" w:rsidP="00503712">
            <w:pPr>
              <w:jc w:val="center"/>
              <w:rPr>
                <w:rFonts w:ascii="Arial" w:hAnsi="Arial" w:cs="Arial"/>
                <w:b/>
                <w:bCs/>
                <w:color w:val="000000"/>
                <w:sz w:val="17"/>
                <w:szCs w:val="17"/>
              </w:rPr>
            </w:pPr>
            <w:r w:rsidRPr="006B636B">
              <w:rPr>
                <w:rFonts w:ascii="Arial" w:hAnsi="Arial" w:cs="Arial"/>
                <w:b/>
                <w:bCs/>
                <w:color w:val="000000"/>
                <w:sz w:val="17"/>
                <w:szCs w:val="17"/>
              </w:rPr>
              <w:t>Monto</w:t>
            </w:r>
          </w:p>
        </w:tc>
      </w:tr>
      <w:tr w:rsidR="00A311E1" w:rsidRPr="006B636B" w:rsidTr="003822F9">
        <w:trPr>
          <w:trHeight w:val="225"/>
        </w:trPr>
        <w:tc>
          <w:tcPr>
            <w:tcW w:w="3952" w:type="dxa"/>
            <w:shd w:val="clear" w:color="auto" w:fill="auto"/>
            <w:vAlign w:val="center"/>
            <w:hideMark/>
          </w:tcPr>
          <w:p w:rsidR="00A311E1" w:rsidRPr="003822F9" w:rsidRDefault="00A311E1" w:rsidP="00503712">
            <w:pPr>
              <w:jc w:val="both"/>
              <w:rPr>
                <w:rFonts w:ascii="Arial" w:hAnsi="Arial" w:cs="Arial"/>
                <w:color w:val="000000"/>
                <w:sz w:val="17"/>
                <w:szCs w:val="17"/>
              </w:rPr>
            </w:pPr>
            <w:r w:rsidRPr="003822F9">
              <w:rPr>
                <w:rFonts w:ascii="Arial" w:hAnsi="Arial" w:cs="Arial"/>
                <w:color w:val="000000"/>
                <w:sz w:val="17"/>
                <w:szCs w:val="17"/>
              </w:rPr>
              <w:t>Constructora COSS BU S.A. DE C.V.</w:t>
            </w:r>
          </w:p>
        </w:tc>
        <w:tc>
          <w:tcPr>
            <w:tcW w:w="1228" w:type="dxa"/>
            <w:shd w:val="clear" w:color="auto" w:fill="auto"/>
            <w:noWrap/>
            <w:vAlign w:val="center"/>
            <w:hideMark/>
          </w:tcPr>
          <w:p w:rsidR="00A311E1" w:rsidRPr="003822F9" w:rsidRDefault="003822F9" w:rsidP="00503712">
            <w:pPr>
              <w:jc w:val="center"/>
              <w:rPr>
                <w:rFonts w:ascii="Arial" w:hAnsi="Arial" w:cs="Arial"/>
                <w:color w:val="000000"/>
                <w:sz w:val="17"/>
                <w:szCs w:val="17"/>
              </w:rPr>
            </w:pPr>
            <w:r w:rsidRPr="003822F9">
              <w:rPr>
                <w:rFonts w:ascii="Arial" w:hAnsi="Arial" w:cs="Arial"/>
                <w:color w:val="000000"/>
                <w:sz w:val="17"/>
                <w:szCs w:val="17"/>
              </w:rPr>
              <w:t>30,125,394</w:t>
            </w:r>
          </w:p>
        </w:tc>
      </w:tr>
    </w:tbl>
    <w:p w:rsidR="00F71E5C" w:rsidRDefault="00F71E5C" w:rsidP="00F71E5C">
      <w:pPr>
        <w:pStyle w:val="Prrafodelista"/>
        <w:spacing w:before="80" w:line="250" w:lineRule="exact"/>
        <w:contextualSpacing w:val="0"/>
        <w:jc w:val="both"/>
        <w:rPr>
          <w:rFonts w:ascii="Arial" w:eastAsia="Calibri" w:hAnsi="Arial" w:cs="Arial"/>
          <w:b/>
          <w:spacing w:val="-1"/>
          <w:sz w:val="17"/>
          <w:szCs w:val="17"/>
          <w:highlight w:val="red"/>
        </w:rPr>
      </w:pPr>
    </w:p>
    <w:p w:rsidR="006B636B" w:rsidRPr="00A558C0" w:rsidRDefault="00A311E1" w:rsidP="00F71E5C">
      <w:pPr>
        <w:pStyle w:val="Prrafodelista"/>
        <w:spacing w:before="80" w:line="250" w:lineRule="exact"/>
        <w:contextualSpacing w:val="0"/>
        <w:jc w:val="both"/>
        <w:rPr>
          <w:rFonts w:ascii="Arial" w:eastAsia="Calibri" w:hAnsi="Arial" w:cs="Arial"/>
          <w:b/>
          <w:spacing w:val="-1"/>
          <w:sz w:val="17"/>
          <w:szCs w:val="17"/>
          <w:highlight w:val="red"/>
        </w:rPr>
      </w:pPr>
      <w:r>
        <w:rPr>
          <w:rFonts w:ascii="Arial" w:eastAsia="Calibri" w:hAnsi="Arial" w:cs="Arial"/>
          <w:b/>
          <w:spacing w:val="-1"/>
          <w:sz w:val="17"/>
          <w:szCs w:val="17"/>
          <w:highlight w:val="red"/>
        </w:rPr>
        <w:t xml:space="preserve">                                                    </w:t>
      </w:r>
    </w:p>
    <w:p w:rsidR="0033043F" w:rsidRDefault="0033043F" w:rsidP="00F65C9A">
      <w:pPr>
        <w:spacing w:before="80" w:line="250" w:lineRule="exact"/>
        <w:ind w:left="709"/>
        <w:jc w:val="both"/>
        <w:rPr>
          <w:rFonts w:ascii="Arial" w:eastAsia="Calibri" w:hAnsi="Arial" w:cs="Arial"/>
          <w:spacing w:val="-1"/>
          <w:sz w:val="17"/>
          <w:szCs w:val="17"/>
        </w:rPr>
      </w:pPr>
    </w:p>
    <w:p w:rsidR="00F71E5C" w:rsidRDefault="0033043F" w:rsidP="004913BF">
      <w:pPr>
        <w:shd w:val="clear" w:color="auto" w:fill="FFFFFF" w:themeFill="background1"/>
        <w:spacing w:before="80" w:line="250" w:lineRule="exact"/>
        <w:ind w:left="709"/>
        <w:jc w:val="both"/>
        <w:rPr>
          <w:rFonts w:ascii="Arial" w:eastAsia="Calibri" w:hAnsi="Arial" w:cs="Arial"/>
          <w:spacing w:val="-1"/>
          <w:sz w:val="17"/>
          <w:szCs w:val="17"/>
        </w:rPr>
      </w:pPr>
      <w:r w:rsidRPr="006B611E">
        <w:rPr>
          <w:rFonts w:ascii="Arial" w:eastAsia="Calibri" w:hAnsi="Arial" w:cs="Arial"/>
          <w:spacing w:val="-1"/>
          <w:sz w:val="17"/>
          <w:szCs w:val="17"/>
        </w:rPr>
        <w:t xml:space="preserve">El incremento que se presenta en </w:t>
      </w:r>
      <w:r w:rsidR="008B512C" w:rsidRPr="006B611E">
        <w:rPr>
          <w:rFonts w:ascii="Arial" w:eastAsia="Calibri" w:hAnsi="Arial" w:cs="Arial"/>
          <w:spacing w:val="-1"/>
          <w:sz w:val="17"/>
          <w:szCs w:val="17"/>
        </w:rPr>
        <w:t>la cuentas por cobrar a largo p</w:t>
      </w:r>
      <w:r w:rsidRPr="006B611E">
        <w:rPr>
          <w:rFonts w:ascii="Arial" w:eastAsia="Calibri" w:hAnsi="Arial" w:cs="Arial"/>
          <w:spacing w:val="-1"/>
          <w:sz w:val="17"/>
          <w:szCs w:val="17"/>
        </w:rPr>
        <w:t xml:space="preserve">lazo obedece a la reclasificación del saldo que presenta Constructora COSS BU S.A. DE C.V </w:t>
      </w:r>
      <w:r w:rsidR="008B512C" w:rsidRPr="006B611E">
        <w:rPr>
          <w:rFonts w:ascii="Arial" w:eastAsia="Calibri" w:hAnsi="Arial" w:cs="Arial"/>
          <w:spacing w:val="-1"/>
          <w:sz w:val="17"/>
          <w:szCs w:val="17"/>
        </w:rPr>
        <w:t>saldo que proviene de una cuentas por cobrar a corto p</w:t>
      </w:r>
      <w:r w:rsidRPr="006B611E">
        <w:rPr>
          <w:rFonts w:ascii="Arial" w:eastAsia="Calibri" w:hAnsi="Arial" w:cs="Arial"/>
          <w:spacing w:val="-1"/>
          <w:sz w:val="17"/>
          <w:szCs w:val="17"/>
        </w:rPr>
        <w:t>lazo</w:t>
      </w:r>
      <w:r w:rsidR="004913BF" w:rsidRPr="006B611E">
        <w:rPr>
          <w:rFonts w:ascii="Arial" w:eastAsia="Calibri" w:hAnsi="Arial" w:cs="Arial"/>
          <w:spacing w:val="-1"/>
          <w:sz w:val="17"/>
          <w:szCs w:val="17"/>
        </w:rPr>
        <w:t>.</w:t>
      </w:r>
    </w:p>
    <w:p w:rsidR="003822F9" w:rsidRDefault="003822F9" w:rsidP="00F65C9A">
      <w:pPr>
        <w:spacing w:before="80" w:line="250" w:lineRule="exact"/>
        <w:ind w:left="709"/>
        <w:jc w:val="both"/>
        <w:rPr>
          <w:rFonts w:ascii="Arial" w:eastAsia="Calibri" w:hAnsi="Arial" w:cs="Arial"/>
          <w:spacing w:val="-1"/>
          <w:sz w:val="17"/>
          <w:szCs w:val="17"/>
        </w:rPr>
      </w:pPr>
    </w:p>
    <w:p w:rsidR="003822F9" w:rsidRDefault="003822F9" w:rsidP="00F65C9A">
      <w:pPr>
        <w:spacing w:before="80" w:line="250" w:lineRule="exact"/>
        <w:ind w:left="709"/>
        <w:jc w:val="both"/>
        <w:rPr>
          <w:rFonts w:ascii="Arial" w:eastAsia="Calibri" w:hAnsi="Arial" w:cs="Arial"/>
          <w:spacing w:val="-1"/>
          <w:sz w:val="17"/>
          <w:szCs w:val="17"/>
        </w:rPr>
      </w:pPr>
    </w:p>
    <w:p w:rsidR="003822F9" w:rsidRDefault="003822F9" w:rsidP="00F65C9A">
      <w:pPr>
        <w:spacing w:before="80" w:line="250" w:lineRule="exact"/>
        <w:ind w:left="709"/>
        <w:jc w:val="both"/>
        <w:rPr>
          <w:rFonts w:ascii="Arial" w:eastAsia="Calibri" w:hAnsi="Arial" w:cs="Arial"/>
          <w:spacing w:val="-1"/>
          <w:sz w:val="17"/>
          <w:szCs w:val="17"/>
        </w:rPr>
      </w:pPr>
    </w:p>
    <w:p w:rsidR="003822F9" w:rsidRDefault="003822F9" w:rsidP="00F65C9A">
      <w:pPr>
        <w:spacing w:before="80" w:line="250" w:lineRule="exact"/>
        <w:ind w:left="709"/>
        <w:jc w:val="both"/>
        <w:rPr>
          <w:rFonts w:ascii="Arial" w:eastAsia="Calibri" w:hAnsi="Arial" w:cs="Arial"/>
          <w:spacing w:val="-1"/>
          <w:sz w:val="17"/>
          <w:szCs w:val="17"/>
        </w:rPr>
      </w:pPr>
    </w:p>
    <w:p w:rsidR="003822F9" w:rsidRDefault="003822F9" w:rsidP="003822F9">
      <w:pPr>
        <w:spacing w:before="80" w:line="250" w:lineRule="exact"/>
        <w:jc w:val="both"/>
        <w:rPr>
          <w:rFonts w:ascii="Arial" w:eastAsia="Calibri" w:hAnsi="Arial" w:cs="Arial"/>
          <w:spacing w:val="-1"/>
          <w:sz w:val="17"/>
          <w:szCs w:val="17"/>
        </w:rPr>
      </w:pPr>
    </w:p>
    <w:p w:rsidR="00F71E5C" w:rsidRDefault="00D05F47" w:rsidP="00D05F47">
      <w:pPr>
        <w:pStyle w:val="Prrafodelista"/>
        <w:numPr>
          <w:ilvl w:val="0"/>
          <w:numId w:val="8"/>
        </w:numPr>
        <w:spacing w:before="80" w:line="250" w:lineRule="exact"/>
        <w:ind w:left="714" w:hanging="11"/>
        <w:contextualSpacing w:val="0"/>
        <w:jc w:val="both"/>
        <w:rPr>
          <w:rFonts w:ascii="Arial" w:eastAsia="Calibri" w:hAnsi="Arial" w:cs="Arial"/>
          <w:b/>
          <w:spacing w:val="-1"/>
          <w:sz w:val="17"/>
          <w:szCs w:val="17"/>
        </w:rPr>
      </w:pPr>
      <w:r w:rsidRPr="00D05F47">
        <w:rPr>
          <w:rFonts w:ascii="Arial" w:eastAsia="Calibri" w:hAnsi="Arial" w:cs="Arial"/>
          <w:b/>
          <w:spacing w:val="-1"/>
          <w:sz w:val="17"/>
          <w:szCs w:val="17"/>
        </w:rPr>
        <w:lastRenderedPageBreak/>
        <w:t>Bienes Inmuebles, Infraestructura y Construcciones en Proceso</w:t>
      </w:r>
    </w:p>
    <w:p w:rsidR="00D05F47" w:rsidRPr="00BA272D" w:rsidRDefault="00D05F47" w:rsidP="00D05F47">
      <w:pPr>
        <w:pStyle w:val="Prrafodelista"/>
        <w:spacing w:before="80" w:line="250" w:lineRule="exact"/>
        <w:ind w:left="714"/>
        <w:contextualSpacing w:val="0"/>
        <w:jc w:val="both"/>
        <w:rPr>
          <w:rFonts w:ascii="Arial" w:eastAsia="Calibri" w:hAnsi="Arial" w:cs="Arial"/>
          <w:b/>
          <w:spacing w:val="-1"/>
          <w:sz w:val="17"/>
          <w:szCs w:val="17"/>
        </w:rPr>
      </w:pPr>
    </w:p>
    <w:p w:rsidR="00F71E5C" w:rsidRPr="00BA272D" w:rsidRDefault="00F71E5C" w:rsidP="003B1811">
      <w:pPr>
        <w:pStyle w:val="Prrafodelista"/>
        <w:spacing w:before="80" w:line="250" w:lineRule="exact"/>
        <w:ind w:left="709"/>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por cuenta, el rubro de Bienes Inmuebles, Infraestructura y Construcciones en Proceso,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C829E0" w:rsidRDefault="00C829E0" w:rsidP="00F71E5C">
      <w:pPr>
        <w:pStyle w:val="Prrafodelista"/>
        <w:spacing w:before="80" w:line="250" w:lineRule="exact"/>
        <w:ind w:left="6381"/>
        <w:jc w:val="both"/>
        <w:rPr>
          <w:rFonts w:ascii="Arial" w:eastAsia="Calibri" w:hAnsi="Arial" w:cs="Arial"/>
          <w:b/>
          <w:spacing w:val="-1"/>
          <w:sz w:val="17"/>
          <w:szCs w:val="17"/>
        </w:rPr>
      </w:pPr>
    </w:p>
    <w:p w:rsidR="00F71E5C" w:rsidRPr="00BA272D" w:rsidRDefault="00F71E5C" w:rsidP="00F71E5C">
      <w:pPr>
        <w:pStyle w:val="Prrafodelista"/>
        <w:spacing w:before="80" w:line="250" w:lineRule="exact"/>
        <w:ind w:left="6381"/>
        <w:jc w:val="both"/>
        <w:rPr>
          <w:rFonts w:ascii="Arial" w:eastAsia="Calibri" w:hAnsi="Arial" w:cs="Arial"/>
          <w:spacing w:val="-1"/>
          <w:sz w:val="17"/>
          <w:szCs w:val="17"/>
        </w:rPr>
      </w:pPr>
      <w:r w:rsidRPr="00BA272D">
        <w:rPr>
          <w:rFonts w:ascii="Arial" w:eastAsia="Calibri" w:hAnsi="Arial" w:cs="Arial"/>
          <w:b/>
          <w:spacing w:val="-1"/>
          <w:sz w:val="17"/>
          <w:szCs w:val="17"/>
        </w:rPr>
        <w:t>(Pesos)</w:t>
      </w:r>
    </w:p>
    <w:tbl>
      <w:tblPr>
        <w:tblW w:w="8982" w:type="dxa"/>
        <w:tblInd w:w="2284" w:type="dxa"/>
        <w:tblCellMar>
          <w:left w:w="70" w:type="dxa"/>
          <w:right w:w="70" w:type="dxa"/>
        </w:tblCellMar>
        <w:tblLook w:val="04A0" w:firstRow="1" w:lastRow="0" w:firstColumn="1" w:lastColumn="0" w:noHBand="0" w:noVBand="1"/>
      </w:tblPr>
      <w:tblGrid>
        <w:gridCol w:w="4743"/>
        <w:gridCol w:w="2091"/>
        <w:gridCol w:w="2148"/>
      </w:tblGrid>
      <w:tr w:rsidR="00F71E5C" w:rsidRPr="00BA272D" w:rsidTr="00D05F47">
        <w:trPr>
          <w:trHeight w:val="389"/>
        </w:trPr>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E55E82" w:rsidRPr="00BA272D"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E55E82" w:rsidRPr="00BA272D" w:rsidRDefault="00E55E82" w:rsidP="00E55E82">
            <w:pPr>
              <w:rPr>
                <w:rFonts w:ascii="Arial" w:hAnsi="Arial" w:cs="Arial"/>
                <w:bCs/>
                <w:color w:val="000000"/>
                <w:sz w:val="17"/>
                <w:szCs w:val="17"/>
              </w:rPr>
            </w:pPr>
            <w:r w:rsidRPr="00BA272D">
              <w:rPr>
                <w:rFonts w:ascii="Arial" w:hAnsi="Arial" w:cs="Arial"/>
                <w:bCs/>
                <w:color w:val="000000"/>
                <w:sz w:val="17"/>
                <w:szCs w:val="17"/>
              </w:rPr>
              <w:t>Terrenos</w:t>
            </w:r>
          </w:p>
        </w:tc>
        <w:tc>
          <w:tcPr>
            <w:tcW w:w="2091" w:type="dxa"/>
            <w:tcBorders>
              <w:top w:val="single" w:sz="4" w:space="0" w:color="auto"/>
              <w:left w:val="nil"/>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2,569,282,128 </w:t>
            </w:r>
          </w:p>
        </w:tc>
        <w:tc>
          <w:tcPr>
            <w:tcW w:w="2148" w:type="dxa"/>
            <w:tcBorders>
              <w:top w:val="nil"/>
              <w:left w:val="single" w:sz="4" w:space="0" w:color="auto"/>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2,922,009,089 </w:t>
            </w:r>
          </w:p>
        </w:tc>
      </w:tr>
      <w:tr w:rsidR="00E55E82" w:rsidRPr="00BA272D"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E55E82" w:rsidRPr="00BA272D" w:rsidRDefault="00E55E82" w:rsidP="00E55E82">
            <w:pPr>
              <w:rPr>
                <w:rFonts w:ascii="Arial" w:hAnsi="Arial" w:cs="Arial"/>
                <w:bCs/>
                <w:color w:val="000000"/>
                <w:sz w:val="17"/>
                <w:szCs w:val="17"/>
              </w:rPr>
            </w:pPr>
            <w:r w:rsidRPr="00BA272D">
              <w:rPr>
                <w:rFonts w:ascii="Arial" w:hAnsi="Arial" w:cs="Arial"/>
                <w:bCs/>
                <w:color w:val="000000"/>
                <w:sz w:val="17"/>
                <w:szCs w:val="17"/>
              </w:rPr>
              <w:t>Viviendas</w:t>
            </w:r>
          </w:p>
        </w:tc>
        <w:tc>
          <w:tcPr>
            <w:tcW w:w="2091" w:type="dxa"/>
            <w:tcBorders>
              <w:top w:val="single" w:sz="4" w:space="0" w:color="auto"/>
              <w:left w:val="nil"/>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6,250,533 </w:t>
            </w:r>
          </w:p>
        </w:tc>
        <w:tc>
          <w:tcPr>
            <w:tcW w:w="2148" w:type="dxa"/>
            <w:tcBorders>
              <w:top w:val="nil"/>
              <w:left w:val="single" w:sz="4" w:space="0" w:color="auto"/>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6,250,533 </w:t>
            </w:r>
          </w:p>
        </w:tc>
      </w:tr>
      <w:tr w:rsidR="00E55E82" w:rsidRPr="00BA272D"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hideMark/>
          </w:tcPr>
          <w:p w:rsidR="00E55E82" w:rsidRPr="00BA272D" w:rsidRDefault="00E55E82" w:rsidP="00E55E82">
            <w:pPr>
              <w:rPr>
                <w:rFonts w:ascii="Arial" w:hAnsi="Arial" w:cs="Arial"/>
                <w:bCs/>
                <w:color w:val="000000"/>
                <w:sz w:val="17"/>
                <w:szCs w:val="17"/>
              </w:rPr>
            </w:pPr>
            <w:r w:rsidRPr="00BA272D">
              <w:rPr>
                <w:rFonts w:ascii="Arial" w:hAnsi="Arial" w:cs="Arial"/>
                <w:bCs/>
                <w:color w:val="000000"/>
                <w:sz w:val="17"/>
                <w:szCs w:val="17"/>
              </w:rPr>
              <w:t>Edificios no Habitacionales</w:t>
            </w:r>
          </w:p>
        </w:tc>
        <w:tc>
          <w:tcPr>
            <w:tcW w:w="2091" w:type="dxa"/>
            <w:tcBorders>
              <w:top w:val="single" w:sz="4" w:space="0" w:color="auto"/>
              <w:left w:val="nil"/>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3,176,521,472 </w:t>
            </w:r>
          </w:p>
        </w:tc>
        <w:tc>
          <w:tcPr>
            <w:tcW w:w="2148" w:type="dxa"/>
            <w:tcBorders>
              <w:top w:val="nil"/>
              <w:left w:val="single" w:sz="4" w:space="0" w:color="auto"/>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6,957,733,008 </w:t>
            </w:r>
          </w:p>
        </w:tc>
      </w:tr>
      <w:tr w:rsidR="00E55E82" w:rsidRPr="00BA272D"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tcPr>
          <w:p w:rsidR="00E55E82" w:rsidRPr="00BA272D" w:rsidRDefault="00E55E82" w:rsidP="00E55E82">
            <w:pPr>
              <w:rPr>
                <w:rFonts w:ascii="Arial" w:hAnsi="Arial" w:cs="Arial"/>
                <w:bCs/>
                <w:color w:val="000000"/>
                <w:sz w:val="17"/>
                <w:szCs w:val="17"/>
              </w:rPr>
            </w:pPr>
            <w:r w:rsidRPr="00BA272D">
              <w:rPr>
                <w:rFonts w:ascii="Arial" w:hAnsi="Arial" w:cs="Arial"/>
                <w:bCs/>
                <w:color w:val="000000"/>
                <w:sz w:val="17"/>
                <w:szCs w:val="17"/>
              </w:rPr>
              <w:t>Infraestructura</w:t>
            </w:r>
          </w:p>
        </w:tc>
        <w:tc>
          <w:tcPr>
            <w:tcW w:w="2091" w:type="dxa"/>
            <w:tcBorders>
              <w:top w:val="single" w:sz="4" w:space="0" w:color="auto"/>
              <w:left w:val="nil"/>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356,291,023 </w:t>
            </w:r>
          </w:p>
        </w:tc>
        <w:tc>
          <w:tcPr>
            <w:tcW w:w="2148" w:type="dxa"/>
            <w:tcBorders>
              <w:top w:val="nil"/>
              <w:left w:val="single" w:sz="4" w:space="0" w:color="auto"/>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354,217,755 </w:t>
            </w:r>
          </w:p>
        </w:tc>
      </w:tr>
      <w:tr w:rsidR="00E55E82" w:rsidRPr="00BA272D" w:rsidTr="00022A30">
        <w:trPr>
          <w:trHeight w:val="240"/>
        </w:trPr>
        <w:tc>
          <w:tcPr>
            <w:tcW w:w="4743" w:type="dxa"/>
            <w:tcBorders>
              <w:top w:val="nil"/>
              <w:left w:val="single" w:sz="4" w:space="0" w:color="auto"/>
              <w:bottom w:val="single" w:sz="4" w:space="0" w:color="auto"/>
              <w:right w:val="single" w:sz="4" w:space="0" w:color="auto"/>
            </w:tcBorders>
            <w:shd w:val="clear" w:color="auto" w:fill="auto"/>
            <w:vAlign w:val="center"/>
          </w:tcPr>
          <w:p w:rsidR="00E55E82" w:rsidRPr="00BA272D" w:rsidRDefault="00E55E82" w:rsidP="00E55E82">
            <w:pPr>
              <w:rPr>
                <w:rFonts w:ascii="Arial" w:hAnsi="Arial" w:cs="Arial"/>
                <w:bCs/>
                <w:color w:val="000000"/>
                <w:sz w:val="17"/>
                <w:szCs w:val="17"/>
              </w:rPr>
            </w:pPr>
            <w:r w:rsidRPr="00BA272D">
              <w:rPr>
                <w:rFonts w:ascii="Arial" w:hAnsi="Arial" w:cs="Arial"/>
                <w:bCs/>
                <w:color w:val="000000"/>
                <w:sz w:val="17"/>
                <w:szCs w:val="17"/>
              </w:rPr>
              <w:t>Construcciones en Proceso en Bienes de Dominio Público</w:t>
            </w:r>
          </w:p>
        </w:tc>
        <w:tc>
          <w:tcPr>
            <w:tcW w:w="2091" w:type="dxa"/>
            <w:tcBorders>
              <w:top w:val="single" w:sz="4" w:space="0" w:color="auto"/>
              <w:left w:val="nil"/>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7,123,978 </w:t>
            </w:r>
          </w:p>
        </w:tc>
        <w:tc>
          <w:tcPr>
            <w:tcW w:w="2148" w:type="dxa"/>
            <w:tcBorders>
              <w:top w:val="nil"/>
              <w:left w:val="single" w:sz="4" w:space="0" w:color="auto"/>
              <w:bottom w:val="single" w:sz="4" w:space="0" w:color="auto"/>
              <w:right w:val="single" w:sz="4" w:space="0" w:color="auto"/>
            </w:tcBorders>
            <w:shd w:val="clear" w:color="auto" w:fill="auto"/>
          </w:tcPr>
          <w:p w:rsidR="00E55E82" w:rsidRPr="00BA272D" w:rsidRDefault="00E55E82" w:rsidP="00E55E82">
            <w:pPr>
              <w:jc w:val="right"/>
              <w:rPr>
                <w:rFonts w:ascii="Arial" w:hAnsi="Arial" w:cs="Arial"/>
                <w:sz w:val="17"/>
                <w:szCs w:val="17"/>
              </w:rPr>
            </w:pPr>
            <w:r w:rsidRPr="00BA272D">
              <w:rPr>
                <w:rFonts w:ascii="Arial" w:hAnsi="Arial" w:cs="Arial"/>
                <w:sz w:val="17"/>
                <w:szCs w:val="17"/>
              </w:rPr>
              <w:t xml:space="preserve"> 177,350,545 </w:t>
            </w:r>
          </w:p>
        </w:tc>
      </w:tr>
      <w:tr w:rsidR="00E55E82" w:rsidRPr="00BA272D" w:rsidTr="00D05F47">
        <w:trPr>
          <w:trHeight w:val="240"/>
        </w:trPr>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55E82" w:rsidRPr="00BA272D" w:rsidRDefault="00E55E82" w:rsidP="00E55E82">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5E82" w:rsidRPr="00BA272D" w:rsidRDefault="00E55E82" w:rsidP="00E55E82">
            <w:pPr>
              <w:jc w:val="right"/>
              <w:rPr>
                <w:rFonts w:ascii="Arial" w:hAnsi="Arial" w:cs="Arial"/>
                <w:b/>
                <w:sz w:val="17"/>
                <w:szCs w:val="17"/>
              </w:rPr>
            </w:pPr>
            <w:r w:rsidRPr="00BA272D">
              <w:rPr>
                <w:rFonts w:ascii="Arial" w:hAnsi="Arial" w:cs="Arial"/>
                <w:b/>
                <w:sz w:val="17"/>
                <w:szCs w:val="17"/>
              </w:rPr>
              <w:t xml:space="preserve"> 6,115,469,134 </w:t>
            </w:r>
          </w:p>
        </w:tc>
        <w:tc>
          <w:tcPr>
            <w:tcW w:w="2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5E82" w:rsidRPr="00BA272D" w:rsidRDefault="00E55E82" w:rsidP="00E55E82">
            <w:pPr>
              <w:jc w:val="right"/>
              <w:rPr>
                <w:rFonts w:ascii="Arial" w:hAnsi="Arial" w:cs="Arial"/>
                <w:b/>
                <w:sz w:val="17"/>
                <w:szCs w:val="17"/>
              </w:rPr>
            </w:pPr>
            <w:r w:rsidRPr="00BA272D">
              <w:rPr>
                <w:rFonts w:ascii="Arial" w:hAnsi="Arial" w:cs="Arial"/>
                <w:b/>
                <w:sz w:val="17"/>
                <w:szCs w:val="17"/>
              </w:rPr>
              <w:t xml:space="preserve"> 10,417,560,930 </w:t>
            </w:r>
          </w:p>
        </w:tc>
      </w:tr>
    </w:tbl>
    <w:p w:rsidR="008D2CB5" w:rsidRDefault="00DE12C4" w:rsidP="00317B75">
      <w:pPr>
        <w:spacing w:before="80" w:line="250" w:lineRule="exact"/>
        <w:ind w:left="851"/>
        <w:jc w:val="both"/>
        <w:rPr>
          <w:rFonts w:ascii="Arial" w:eastAsia="Calibri" w:hAnsi="Arial" w:cs="Arial"/>
          <w:spacing w:val="-1"/>
          <w:sz w:val="17"/>
          <w:szCs w:val="17"/>
        </w:rPr>
      </w:pPr>
      <w:r w:rsidRPr="00DE12C4">
        <w:rPr>
          <w:rFonts w:ascii="Arial" w:eastAsia="Calibri" w:hAnsi="Arial" w:cs="Arial"/>
          <w:spacing w:val="-1"/>
          <w:sz w:val="17"/>
          <w:szCs w:val="17"/>
        </w:rPr>
        <w:t xml:space="preserve">            </w:t>
      </w:r>
    </w:p>
    <w:p w:rsidR="0037045C" w:rsidRPr="00DE12C4" w:rsidRDefault="00DE12C4" w:rsidP="003B1811">
      <w:pPr>
        <w:spacing w:before="80" w:line="250" w:lineRule="exact"/>
        <w:ind w:left="851"/>
        <w:jc w:val="both"/>
        <w:rPr>
          <w:rFonts w:ascii="Arial" w:eastAsia="Calibri" w:hAnsi="Arial" w:cs="Arial"/>
          <w:spacing w:val="-1"/>
          <w:sz w:val="17"/>
          <w:szCs w:val="17"/>
        </w:rPr>
      </w:pPr>
      <w:r w:rsidRPr="00DE12C4">
        <w:rPr>
          <w:rFonts w:ascii="Arial" w:eastAsia="Calibri" w:hAnsi="Arial" w:cs="Arial"/>
          <w:spacing w:val="-1"/>
          <w:sz w:val="17"/>
          <w:szCs w:val="17"/>
        </w:rPr>
        <w:t xml:space="preserve"> El decremento en la cuenta de terrenos corresponde principalmente a</w:t>
      </w:r>
      <w:r w:rsidR="008D2CB5">
        <w:rPr>
          <w:rFonts w:ascii="Arial" w:eastAsia="Calibri" w:hAnsi="Arial" w:cs="Arial"/>
          <w:spacing w:val="-1"/>
          <w:sz w:val="17"/>
          <w:szCs w:val="17"/>
        </w:rPr>
        <w:t xml:space="preserve"> desincorporaciones del patrimonio del Poder Ejecutivo.</w:t>
      </w:r>
      <w:r w:rsidR="00587AF8" w:rsidRPr="00DE12C4">
        <w:rPr>
          <w:rFonts w:ascii="Arial" w:eastAsia="Calibri" w:hAnsi="Arial" w:cs="Arial"/>
          <w:spacing w:val="-1"/>
          <w:sz w:val="17"/>
          <w:szCs w:val="17"/>
        </w:rPr>
        <w:t xml:space="preserve"> </w:t>
      </w:r>
    </w:p>
    <w:p w:rsidR="0037045C" w:rsidRPr="00DE12C4" w:rsidRDefault="0037045C" w:rsidP="003B1811">
      <w:pPr>
        <w:spacing w:before="80" w:line="250" w:lineRule="exact"/>
        <w:ind w:left="851"/>
        <w:jc w:val="both"/>
        <w:rPr>
          <w:rFonts w:ascii="Arial" w:eastAsia="Calibri" w:hAnsi="Arial" w:cs="Arial"/>
          <w:spacing w:val="-1"/>
          <w:sz w:val="17"/>
          <w:szCs w:val="17"/>
        </w:rPr>
      </w:pPr>
    </w:p>
    <w:p w:rsidR="0037045C" w:rsidRPr="0037045C" w:rsidRDefault="008D2CB5" w:rsidP="003B1811">
      <w:pPr>
        <w:spacing w:before="80" w:line="250" w:lineRule="exact"/>
        <w:ind w:left="851"/>
        <w:jc w:val="both"/>
        <w:rPr>
          <w:rFonts w:ascii="Arial" w:eastAsia="Calibri" w:hAnsi="Arial" w:cs="Arial"/>
          <w:spacing w:val="-1"/>
          <w:sz w:val="17"/>
          <w:szCs w:val="17"/>
        </w:rPr>
      </w:pPr>
      <w:r>
        <w:rPr>
          <w:rFonts w:ascii="Arial" w:eastAsia="Calibri" w:hAnsi="Arial" w:cs="Arial"/>
          <w:spacing w:val="-1"/>
          <w:sz w:val="17"/>
          <w:szCs w:val="17"/>
        </w:rPr>
        <w:t>El d</w:t>
      </w:r>
      <w:r w:rsidR="0037045C" w:rsidRPr="00DE12C4">
        <w:rPr>
          <w:rFonts w:ascii="Arial" w:eastAsia="Calibri" w:hAnsi="Arial" w:cs="Arial"/>
          <w:spacing w:val="-1"/>
          <w:sz w:val="17"/>
          <w:szCs w:val="17"/>
        </w:rPr>
        <w:t>ecremento en la cuenta de Edificios no Habitacionales, obedece a la reclasificación de inmuebles</w:t>
      </w:r>
      <w:r w:rsidR="0031139E" w:rsidRPr="00DE12C4">
        <w:rPr>
          <w:rFonts w:ascii="Arial" w:eastAsia="Calibri" w:hAnsi="Arial" w:cs="Arial"/>
          <w:spacing w:val="-1"/>
          <w:sz w:val="17"/>
          <w:szCs w:val="17"/>
        </w:rPr>
        <w:t xml:space="preserve"> que corresponden </w:t>
      </w:r>
      <w:r w:rsidR="009D7782" w:rsidRPr="00DE12C4">
        <w:rPr>
          <w:rFonts w:ascii="Arial" w:eastAsia="Calibri" w:hAnsi="Arial" w:cs="Arial"/>
          <w:spacing w:val="-1"/>
          <w:sz w:val="17"/>
          <w:szCs w:val="17"/>
        </w:rPr>
        <w:t>a Otros Activos No Circulantes en el rubro de Bienes Inmuebles en Comodato:</w:t>
      </w:r>
    </w:p>
    <w:p w:rsidR="0037045C" w:rsidRPr="00172E48" w:rsidRDefault="0037045C" w:rsidP="003B1811">
      <w:pPr>
        <w:spacing w:before="80" w:line="250" w:lineRule="exact"/>
        <w:ind w:left="851"/>
        <w:jc w:val="both"/>
        <w:rPr>
          <w:rFonts w:ascii="Arial" w:eastAsia="Calibri" w:hAnsi="Arial" w:cs="Arial"/>
          <w:spacing w:val="-1"/>
          <w:sz w:val="17"/>
          <w:szCs w:val="17"/>
        </w:rPr>
      </w:pPr>
      <w:r w:rsidRPr="0037045C">
        <w:rPr>
          <w:rFonts w:ascii="Arial" w:eastAsia="Calibri" w:hAnsi="Arial" w:cs="Arial"/>
          <w:color w:val="000000"/>
          <w:spacing w:val="-1"/>
          <w:sz w:val="17"/>
          <w:szCs w:val="17"/>
        </w:rPr>
        <w:t xml:space="preserve">El incremento en la cuenta de Infraestructura, se debe </w:t>
      </w:r>
      <w:r w:rsidRPr="0037045C">
        <w:rPr>
          <w:rFonts w:ascii="Arial" w:eastAsia="Calibri" w:hAnsi="Arial" w:cs="Arial"/>
          <w:spacing w:val="-1"/>
          <w:sz w:val="17"/>
          <w:szCs w:val="17"/>
        </w:rPr>
        <w:t xml:space="preserve">a la incorporación del bien ubicado en el Parque Industrial Bernardo Quintana </w:t>
      </w:r>
      <w:proofErr w:type="spellStart"/>
      <w:r w:rsidRPr="0037045C">
        <w:rPr>
          <w:rFonts w:ascii="Arial" w:eastAsia="Calibri" w:hAnsi="Arial" w:cs="Arial"/>
          <w:spacing w:val="-1"/>
          <w:sz w:val="17"/>
          <w:szCs w:val="17"/>
        </w:rPr>
        <w:t>Arrioja</w:t>
      </w:r>
      <w:proofErr w:type="spellEnd"/>
      <w:r w:rsidRPr="0037045C">
        <w:rPr>
          <w:rFonts w:ascii="Arial" w:eastAsia="Calibri" w:hAnsi="Arial" w:cs="Arial"/>
          <w:spacing w:val="-1"/>
          <w:sz w:val="17"/>
          <w:szCs w:val="17"/>
        </w:rPr>
        <w:t xml:space="preserve"> </w:t>
      </w:r>
      <w:r w:rsidR="00C829E0" w:rsidRPr="0037045C">
        <w:rPr>
          <w:rFonts w:ascii="Arial" w:eastAsia="Calibri" w:hAnsi="Arial" w:cs="Arial"/>
          <w:spacing w:val="-1"/>
          <w:sz w:val="17"/>
          <w:szCs w:val="17"/>
        </w:rPr>
        <w:t xml:space="preserve">en el Municipio del Marqués </w:t>
      </w:r>
      <w:r w:rsidR="00B53EAA">
        <w:rPr>
          <w:rFonts w:ascii="Arial" w:eastAsia="Calibri" w:hAnsi="Arial" w:cs="Arial"/>
          <w:spacing w:val="-1"/>
          <w:sz w:val="17"/>
          <w:szCs w:val="17"/>
        </w:rPr>
        <w:t xml:space="preserve">por un </w:t>
      </w:r>
      <w:r w:rsidR="00B53EAA" w:rsidRPr="003822F9">
        <w:rPr>
          <w:rFonts w:ascii="Arial" w:eastAsia="Calibri" w:hAnsi="Arial" w:cs="Arial"/>
          <w:spacing w:val="-1"/>
          <w:sz w:val="17"/>
          <w:szCs w:val="17"/>
        </w:rPr>
        <w:t xml:space="preserve">importe </w:t>
      </w:r>
      <w:r w:rsidR="003822F9" w:rsidRPr="003822F9">
        <w:rPr>
          <w:rFonts w:ascii="Arial" w:eastAsia="Calibri" w:hAnsi="Arial" w:cs="Arial"/>
          <w:spacing w:val="-1"/>
          <w:sz w:val="17"/>
          <w:szCs w:val="17"/>
        </w:rPr>
        <w:t>de 2,</w:t>
      </w:r>
      <w:r w:rsidR="00B53EAA" w:rsidRPr="003822F9">
        <w:rPr>
          <w:rFonts w:ascii="Arial" w:eastAsia="Calibri" w:hAnsi="Arial" w:cs="Arial"/>
          <w:spacing w:val="-1"/>
          <w:sz w:val="17"/>
          <w:szCs w:val="17"/>
        </w:rPr>
        <w:t>073,285, por la extinción del Fideicomiso.</w:t>
      </w:r>
    </w:p>
    <w:p w:rsidR="0037045C" w:rsidRPr="00172E48" w:rsidRDefault="0037045C" w:rsidP="00317B75">
      <w:pPr>
        <w:pStyle w:val="Prrafodelista"/>
        <w:spacing w:before="80" w:line="240" w:lineRule="exact"/>
        <w:ind w:left="851"/>
        <w:jc w:val="both"/>
        <w:rPr>
          <w:rFonts w:ascii="Arial" w:eastAsia="Calibri" w:hAnsi="Arial" w:cs="Arial"/>
          <w:spacing w:val="-1"/>
          <w:sz w:val="17"/>
          <w:szCs w:val="17"/>
        </w:rPr>
      </w:pPr>
    </w:p>
    <w:p w:rsidR="00F71E5C" w:rsidRDefault="00F71E5C" w:rsidP="003B1811">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Se infor</w:t>
      </w:r>
      <w:r w:rsidR="00E04585">
        <w:rPr>
          <w:rFonts w:ascii="Arial" w:eastAsia="Calibri" w:hAnsi="Arial" w:cs="Arial"/>
          <w:spacing w:val="-1"/>
          <w:sz w:val="17"/>
          <w:szCs w:val="17"/>
        </w:rPr>
        <w:t xml:space="preserve">ma por rubro </w:t>
      </w:r>
      <w:r w:rsidRPr="00BA272D">
        <w:rPr>
          <w:rFonts w:ascii="Arial" w:eastAsia="Calibri" w:hAnsi="Arial" w:cs="Arial"/>
          <w:spacing w:val="-1"/>
          <w:sz w:val="17"/>
          <w:szCs w:val="17"/>
        </w:rPr>
        <w:t xml:space="preserve">de bienes inmuebles,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3822F9" w:rsidRPr="00BA272D" w:rsidRDefault="003822F9" w:rsidP="003B1811">
      <w:pPr>
        <w:spacing w:before="80" w:line="240" w:lineRule="exact"/>
        <w:ind w:left="851"/>
        <w:jc w:val="both"/>
        <w:rPr>
          <w:rFonts w:ascii="Arial" w:eastAsia="Calibri" w:hAnsi="Arial" w:cs="Arial"/>
          <w:spacing w:val="-1"/>
          <w:sz w:val="17"/>
          <w:szCs w:val="17"/>
        </w:rPr>
      </w:pPr>
    </w:p>
    <w:p w:rsidR="00D51827" w:rsidRPr="00BA272D" w:rsidRDefault="003822F9" w:rsidP="003822F9">
      <w:pPr>
        <w:spacing w:line="259" w:lineRule="auto"/>
        <w:ind w:left="709"/>
        <w:jc w:val="center"/>
        <w:rPr>
          <w:rFonts w:ascii="Arial" w:eastAsia="Calibri" w:hAnsi="Arial" w:cs="Arial"/>
          <w:spacing w:val="-1"/>
          <w:sz w:val="17"/>
          <w:szCs w:val="17"/>
        </w:rPr>
      </w:pPr>
      <w:r w:rsidRPr="00BA272D">
        <w:rPr>
          <w:rFonts w:ascii="Arial" w:eastAsia="Calibri" w:hAnsi="Arial" w:cs="Arial"/>
          <w:b/>
          <w:spacing w:val="-1"/>
          <w:sz w:val="17"/>
          <w:szCs w:val="17"/>
        </w:rPr>
        <w:t>(Pesos)</w:t>
      </w:r>
      <w:r>
        <w:rPr>
          <w:rFonts w:ascii="Arial" w:eastAsia="Calibri" w:hAnsi="Arial" w:cs="Arial"/>
          <w:b/>
          <w:spacing w:val="-1"/>
          <w:sz w:val="17"/>
          <w:szCs w:val="17"/>
        </w:rPr>
        <w:t xml:space="preserve">    </w:t>
      </w:r>
    </w:p>
    <w:tbl>
      <w:tblPr>
        <w:tblpPr w:leftFromText="141" w:rightFromText="141" w:vertAnchor="text" w:horzAnchor="margin" w:tblpY="21"/>
        <w:tblW w:w="5228" w:type="pct"/>
        <w:tblCellMar>
          <w:left w:w="70" w:type="dxa"/>
          <w:right w:w="70" w:type="dxa"/>
        </w:tblCellMar>
        <w:tblLook w:val="04A0" w:firstRow="1" w:lastRow="0" w:firstColumn="1" w:lastColumn="0" w:noHBand="0" w:noVBand="1"/>
      </w:tblPr>
      <w:tblGrid>
        <w:gridCol w:w="2263"/>
        <w:gridCol w:w="2083"/>
        <w:gridCol w:w="1400"/>
        <w:gridCol w:w="1400"/>
        <w:gridCol w:w="1103"/>
        <w:gridCol w:w="1228"/>
        <w:gridCol w:w="1731"/>
        <w:gridCol w:w="1824"/>
      </w:tblGrid>
      <w:tr w:rsidR="003B1811" w:rsidRPr="00BA272D" w:rsidTr="003B1811">
        <w:trPr>
          <w:trHeight w:val="274"/>
        </w:trPr>
        <w:tc>
          <w:tcPr>
            <w:tcW w:w="868"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3B1811" w:rsidRDefault="003B1811" w:rsidP="003B1811">
            <w:pPr>
              <w:ind w:left="492" w:hanging="492"/>
              <w:jc w:val="center"/>
              <w:rPr>
                <w:rFonts w:ascii="Arial" w:hAnsi="Arial" w:cs="Arial"/>
                <w:b/>
                <w:bCs/>
                <w:color w:val="000000"/>
                <w:sz w:val="17"/>
                <w:szCs w:val="17"/>
              </w:rPr>
            </w:pPr>
            <w:r>
              <w:rPr>
                <w:rFonts w:ascii="Arial" w:hAnsi="Arial" w:cs="Arial"/>
                <w:b/>
                <w:bCs/>
                <w:color w:val="000000"/>
                <w:sz w:val="17"/>
                <w:szCs w:val="17"/>
              </w:rPr>
              <w:t xml:space="preserve">Cuenta de bienes </w:t>
            </w:r>
          </w:p>
          <w:p w:rsidR="003B1811" w:rsidRPr="00BA272D" w:rsidRDefault="003B1811" w:rsidP="003B1811">
            <w:pPr>
              <w:ind w:left="492" w:hanging="492"/>
              <w:jc w:val="center"/>
              <w:rPr>
                <w:rFonts w:ascii="Arial" w:hAnsi="Arial" w:cs="Arial"/>
                <w:b/>
                <w:bCs/>
                <w:color w:val="000000"/>
                <w:sz w:val="17"/>
                <w:szCs w:val="17"/>
              </w:rPr>
            </w:pPr>
            <w:r w:rsidRPr="00BA272D">
              <w:rPr>
                <w:rFonts w:ascii="Arial" w:hAnsi="Arial" w:cs="Arial"/>
                <w:b/>
                <w:bCs/>
                <w:color w:val="000000"/>
                <w:sz w:val="17"/>
                <w:szCs w:val="17"/>
              </w:rPr>
              <w:t>inmuebles</w:t>
            </w:r>
          </w:p>
        </w:tc>
        <w:tc>
          <w:tcPr>
            <w:tcW w:w="799" w:type="pct"/>
            <w:vMerge w:val="restart"/>
            <w:tcBorders>
              <w:top w:val="single" w:sz="4" w:space="0" w:color="auto"/>
              <w:left w:val="nil"/>
              <w:right w:val="single" w:sz="4" w:space="0" w:color="auto"/>
            </w:tcBorders>
            <w:shd w:val="clear" w:color="auto" w:fill="BFBFBF" w:themeFill="background1" w:themeFillShade="BF"/>
            <w:vAlign w:val="center"/>
            <w:hideMark/>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Monto de depreciación del ejercicio</w:t>
            </w:r>
          </w:p>
        </w:tc>
        <w:tc>
          <w:tcPr>
            <w:tcW w:w="537" w:type="pct"/>
            <w:vMerge w:val="restart"/>
            <w:tcBorders>
              <w:top w:val="single" w:sz="4" w:space="0" w:color="auto"/>
              <w:left w:val="nil"/>
              <w:right w:val="single" w:sz="4" w:space="0" w:color="auto"/>
            </w:tcBorders>
            <w:shd w:val="clear" w:color="auto" w:fill="BFBFBF" w:themeFill="background1" w:themeFillShade="BF"/>
            <w:vAlign w:val="center"/>
            <w:hideMark/>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Monto de depreciación acumulada</w:t>
            </w:r>
          </w:p>
        </w:tc>
        <w:tc>
          <w:tcPr>
            <w:tcW w:w="537" w:type="pct"/>
            <w:vMerge w:val="restart"/>
            <w:tcBorders>
              <w:top w:val="single" w:sz="4" w:space="0" w:color="auto"/>
              <w:left w:val="nil"/>
              <w:right w:val="single" w:sz="4" w:space="0" w:color="auto"/>
            </w:tcBorders>
            <w:shd w:val="clear" w:color="auto" w:fill="BFBFBF" w:themeFill="background1" w:themeFillShade="BF"/>
            <w:vAlign w:val="center"/>
            <w:hideMark/>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Método de depreciación</w:t>
            </w:r>
          </w:p>
        </w:tc>
        <w:tc>
          <w:tcPr>
            <w:tcW w:w="423" w:type="pct"/>
            <w:vMerge w:val="restart"/>
            <w:tcBorders>
              <w:top w:val="single" w:sz="4" w:space="0" w:color="auto"/>
              <w:left w:val="nil"/>
              <w:right w:val="single" w:sz="4" w:space="0" w:color="auto"/>
            </w:tcBorders>
            <w:shd w:val="clear" w:color="auto" w:fill="BFBFBF" w:themeFill="background1" w:themeFillShade="BF"/>
            <w:vAlign w:val="center"/>
            <w:hideMark/>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Tasa aplicada</w:t>
            </w:r>
          </w:p>
        </w:tc>
        <w:tc>
          <w:tcPr>
            <w:tcW w:w="471" w:type="pct"/>
            <w:vMerge w:val="restart"/>
            <w:tcBorders>
              <w:top w:val="single" w:sz="4" w:space="0" w:color="auto"/>
              <w:left w:val="nil"/>
              <w:right w:val="single" w:sz="4" w:space="0" w:color="auto"/>
            </w:tcBorders>
            <w:shd w:val="clear" w:color="auto" w:fill="BFBFBF" w:themeFill="background1" w:themeFillShade="BF"/>
            <w:vAlign w:val="center"/>
            <w:hideMark/>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Criterio de aplicación</w:t>
            </w:r>
          </w:p>
        </w:tc>
        <w:tc>
          <w:tcPr>
            <w:tcW w:w="1364"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Características significativas del estado en que encuentren</w:t>
            </w:r>
          </w:p>
        </w:tc>
      </w:tr>
      <w:tr w:rsidR="003B1811" w:rsidRPr="00BA272D" w:rsidTr="003B1811">
        <w:trPr>
          <w:trHeight w:val="274"/>
        </w:trPr>
        <w:tc>
          <w:tcPr>
            <w:tcW w:w="868" w:type="pct"/>
            <w:vMerge/>
            <w:tcBorders>
              <w:left w:val="single" w:sz="4" w:space="0" w:color="auto"/>
              <w:bottom w:val="single" w:sz="4" w:space="0" w:color="auto"/>
              <w:right w:val="single" w:sz="4" w:space="0" w:color="auto"/>
            </w:tcBorders>
            <w:shd w:val="clear" w:color="000000" w:fill="F2F2F2"/>
            <w:vAlign w:val="center"/>
          </w:tcPr>
          <w:p w:rsidR="003B1811" w:rsidRPr="00BA272D" w:rsidRDefault="003B1811" w:rsidP="003B1811">
            <w:pPr>
              <w:jc w:val="center"/>
              <w:rPr>
                <w:rFonts w:ascii="Arial" w:hAnsi="Arial" w:cs="Arial"/>
                <w:b/>
                <w:bCs/>
                <w:color w:val="000000"/>
                <w:sz w:val="17"/>
                <w:szCs w:val="17"/>
              </w:rPr>
            </w:pPr>
          </w:p>
        </w:tc>
        <w:tc>
          <w:tcPr>
            <w:tcW w:w="799" w:type="pct"/>
            <w:vMerge/>
            <w:tcBorders>
              <w:left w:val="nil"/>
              <w:bottom w:val="single" w:sz="4" w:space="0" w:color="auto"/>
              <w:right w:val="single" w:sz="4" w:space="0" w:color="auto"/>
            </w:tcBorders>
            <w:shd w:val="clear" w:color="000000" w:fill="F2F2F2"/>
            <w:vAlign w:val="center"/>
          </w:tcPr>
          <w:p w:rsidR="003B1811" w:rsidRPr="00BA272D" w:rsidRDefault="003B1811" w:rsidP="003B1811">
            <w:pPr>
              <w:jc w:val="center"/>
              <w:rPr>
                <w:rFonts w:ascii="Arial" w:hAnsi="Arial" w:cs="Arial"/>
                <w:b/>
                <w:bCs/>
                <w:color w:val="000000"/>
                <w:sz w:val="17"/>
                <w:szCs w:val="17"/>
              </w:rPr>
            </w:pPr>
          </w:p>
        </w:tc>
        <w:tc>
          <w:tcPr>
            <w:tcW w:w="537" w:type="pct"/>
            <w:vMerge/>
            <w:tcBorders>
              <w:left w:val="nil"/>
              <w:bottom w:val="single" w:sz="4" w:space="0" w:color="auto"/>
              <w:right w:val="single" w:sz="4" w:space="0" w:color="auto"/>
            </w:tcBorders>
            <w:shd w:val="clear" w:color="000000" w:fill="F2F2F2"/>
            <w:vAlign w:val="center"/>
          </w:tcPr>
          <w:p w:rsidR="003B1811" w:rsidRPr="00BA272D" w:rsidRDefault="003B1811" w:rsidP="003B1811">
            <w:pPr>
              <w:jc w:val="center"/>
              <w:rPr>
                <w:rFonts w:ascii="Arial" w:hAnsi="Arial" w:cs="Arial"/>
                <w:b/>
                <w:bCs/>
                <w:color w:val="000000"/>
                <w:sz w:val="17"/>
                <w:szCs w:val="17"/>
              </w:rPr>
            </w:pPr>
          </w:p>
        </w:tc>
        <w:tc>
          <w:tcPr>
            <w:tcW w:w="537" w:type="pct"/>
            <w:vMerge/>
            <w:tcBorders>
              <w:left w:val="nil"/>
              <w:bottom w:val="single" w:sz="4" w:space="0" w:color="auto"/>
              <w:right w:val="single" w:sz="4" w:space="0" w:color="auto"/>
            </w:tcBorders>
            <w:shd w:val="clear" w:color="000000" w:fill="F2F2F2"/>
            <w:vAlign w:val="center"/>
          </w:tcPr>
          <w:p w:rsidR="003B1811" w:rsidRPr="00BA272D" w:rsidRDefault="003B1811" w:rsidP="003B1811">
            <w:pPr>
              <w:jc w:val="center"/>
              <w:rPr>
                <w:rFonts w:ascii="Arial" w:hAnsi="Arial" w:cs="Arial"/>
                <w:b/>
                <w:bCs/>
                <w:color w:val="000000"/>
                <w:sz w:val="17"/>
                <w:szCs w:val="17"/>
              </w:rPr>
            </w:pPr>
          </w:p>
        </w:tc>
        <w:tc>
          <w:tcPr>
            <w:tcW w:w="423" w:type="pct"/>
            <w:vMerge/>
            <w:tcBorders>
              <w:left w:val="nil"/>
              <w:bottom w:val="single" w:sz="4" w:space="0" w:color="auto"/>
              <w:right w:val="single" w:sz="4" w:space="0" w:color="auto"/>
            </w:tcBorders>
            <w:shd w:val="clear" w:color="000000" w:fill="F2F2F2"/>
            <w:vAlign w:val="center"/>
          </w:tcPr>
          <w:p w:rsidR="003B1811" w:rsidRPr="00BA272D" w:rsidRDefault="003B1811" w:rsidP="003B1811">
            <w:pPr>
              <w:jc w:val="center"/>
              <w:rPr>
                <w:rFonts w:ascii="Arial" w:hAnsi="Arial" w:cs="Arial"/>
                <w:b/>
                <w:bCs/>
                <w:color w:val="000000"/>
                <w:sz w:val="17"/>
                <w:szCs w:val="17"/>
              </w:rPr>
            </w:pPr>
          </w:p>
        </w:tc>
        <w:tc>
          <w:tcPr>
            <w:tcW w:w="471" w:type="pct"/>
            <w:vMerge/>
            <w:tcBorders>
              <w:left w:val="nil"/>
              <w:bottom w:val="single" w:sz="4" w:space="0" w:color="auto"/>
              <w:right w:val="single" w:sz="4" w:space="0" w:color="auto"/>
            </w:tcBorders>
            <w:shd w:val="clear" w:color="000000" w:fill="F2F2F2"/>
            <w:vAlign w:val="center"/>
          </w:tcPr>
          <w:p w:rsidR="003B1811" w:rsidRPr="00BA272D" w:rsidRDefault="003B1811" w:rsidP="003B1811">
            <w:pPr>
              <w:jc w:val="center"/>
              <w:rPr>
                <w:rFonts w:ascii="Arial" w:hAnsi="Arial" w:cs="Arial"/>
                <w:b/>
                <w:bCs/>
                <w:color w:val="000000"/>
                <w:sz w:val="17"/>
                <w:szCs w:val="17"/>
              </w:rPr>
            </w:pPr>
          </w:p>
        </w:tc>
        <w:tc>
          <w:tcPr>
            <w:tcW w:w="664" w:type="pct"/>
            <w:tcBorders>
              <w:top w:val="single" w:sz="4" w:space="0" w:color="auto"/>
              <w:left w:val="nil"/>
              <w:bottom w:val="single" w:sz="4" w:space="0" w:color="auto"/>
              <w:right w:val="single" w:sz="4" w:space="0" w:color="auto"/>
            </w:tcBorders>
            <w:shd w:val="clear" w:color="auto" w:fill="BFBFBF" w:themeFill="background1" w:themeFillShade="BF"/>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Aptos para su uso</w:t>
            </w:r>
          </w:p>
        </w:tc>
        <w:tc>
          <w:tcPr>
            <w:tcW w:w="700" w:type="pct"/>
            <w:tcBorders>
              <w:top w:val="single" w:sz="4" w:space="0" w:color="auto"/>
              <w:left w:val="nil"/>
              <w:bottom w:val="single" w:sz="4" w:space="0" w:color="auto"/>
              <w:right w:val="single" w:sz="4" w:space="0" w:color="auto"/>
            </w:tcBorders>
            <w:shd w:val="clear" w:color="auto" w:fill="BFBFBF" w:themeFill="background1" w:themeFillShade="BF"/>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No Aptos o Inservibles</w:t>
            </w:r>
          </w:p>
        </w:tc>
      </w:tr>
      <w:tr w:rsidR="003B1811" w:rsidRPr="00BA272D" w:rsidTr="003B1811">
        <w:trPr>
          <w:trHeight w:val="221"/>
        </w:trPr>
        <w:tc>
          <w:tcPr>
            <w:tcW w:w="868" w:type="pct"/>
            <w:tcBorders>
              <w:top w:val="nil"/>
              <w:left w:val="single" w:sz="4" w:space="0" w:color="auto"/>
              <w:bottom w:val="single" w:sz="4" w:space="0" w:color="auto"/>
              <w:right w:val="single" w:sz="4" w:space="0" w:color="auto"/>
            </w:tcBorders>
            <w:shd w:val="clear" w:color="auto" w:fill="auto"/>
            <w:vAlign w:val="center"/>
            <w:hideMark/>
          </w:tcPr>
          <w:p w:rsidR="003B1811" w:rsidRPr="00BA272D" w:rsidRDefault="003B1811" w:rsidP="003B1811">
            <w:pPr>
              <w:rPr>
                <w:rFonts w:ascii="Arial" w:hAnsi="Arial" w:cs="Arial"/>
                <w:color w:val="000000"/>
                <w:sz w:val="17"/>
                <w:szCs w:val="17"/>
              </w:rPr>
            </w:pPr>
            <w:r w:rsidRPr="00BA272D">
              <w:rPr>
                <w:rFonts w:ascii="Arial" w:hAnsi="Arial" w:cs="Arial"/>
                <w:color w:val="000000"/>
                <w:sz w:val="17"/>
                <w:szCs w:val="17"/>
              </w:rPr>
              <w:t>Viviendas</w:t>
            </w:r>
          </w:p>
        </w:tc>
        <w:tc>
          <w:tcPr>
            <w:tcW w:w="799" w:type="pct"/>
            <w:tcBorders>
              <w:top w:val="nil"/>
              <w:left w:val="nil"/>
              <w:bottom w:val="single" w:sz="4" w:space="0" w:color="auto"/>
              <w:right w:val="single" w:sz="4" w:space="0" w:color="auto"/>
            </w:tcBorders>
            <w:shd w:val="clear" w:color="auto" w:fill="auto"/>
          </w:tcPr>
          <w:p w:rsidR="003B1811" w:rsidRPr="00BA272D" w:rsidRDefault="003B1811" w:rsidP="003B1811">
            <w:pPr>
              <w:jc w:val="right"/>
              <w:rPr>
                <w:rFonts w:ascii="Arial" w:hAnsi="Arial" w:cs="Arial"/>
                <w:sz w:val="17"/>
                <w:szCs w:val="17"/>
              </w:rPr>
            </w:pPr>
            <w:r w:rsidRPr="00BA272D">
              <w:rPr>
                <w:rFonts w:ascii="Arial" w:hAnsi="Arial" w:cs="Arial"/>
                <w:sz w:val="17"/>
                <w:szCs w:val="17"/>
              </w:rPr>
              <w:t xml:space="preserve"> 11,407 </w:t>
            </w:r>
          </w:p>
        </w:tc>
        <w:tc>
          <w:tcPr>
            <w:tcW w:w="537" w:type="pct"/>
            <w:tcBorders>
              <w:top w:val="nil"/>
              <w:left w:val="nil"/>
              <w:bottom w:val="single" w:sz="4" w:space="0" w:color="auto"/>
              <w:right w:val="single" w:sz="4" w:space="0" w:color="auto"/>
            </w:tcBorders>
            <w:shd w:val="clear" w:color="auto" w:fill="auto"/>
          </w:tcPr>
          <w:p w:rsidR="003B1811" w:rsidRPr="00BA272D" w:rsidRDefault="003B1811" w:rsidP="003B1811">
            <w:pPr>
              <w:jc w:val="right"/>
              <w:rPr>
                <w:rFonts w:ascii="Arial" w:hAnsi="Arial" w:cs="Arial"/>
                <w:sz w:val="17"/>
                <w:szCs w:val="17"/>
              </w:rPr>
            </w:pPr>
            <w:r w:rsidRPr="00BA272D">
              <w:rPr>
                <w:rFonts w:ascii="Arial" w:hAnsi="Arial" w:cs="Arial"/>
                <w:sz w:val="17"/>
                <w:szCs w:val="17"/>
              </w:rPr>
              <w:t xml:space="preserve"> 63,689 </w:t>
            </w:r>
          </w:p>
        </w:tc>
        <w:tc>
          <w:tcPr>
            <w:tcW w:w="537" w:type="pct"/>
            <w:tcBorders>
              <w:top w:val="nil"/>
              <w:left w:val="nil"/>
              <w:bottom w:val="single" w:sz="4" w:space="0" w:color="auto"/>
              <w:right w:val="single" w:sz="4" w:space="0" w:color="auto"/>
            </w:tcBorders>
            <w:shd w:val="clear" w:color="auto" w:fill="auto"/>
            <w:hideMark/>
          </w:tcPr>
          <w:p w:rsidR="003B1811" w:rsidRPr="00BA272D" w:rsidRDefault="003B1811" w:rsidP="003B1811">
            <w:pPr>
              <w:rPr>
                <w:rFonts w:ascii="Arial" w:hAnsi="Arial" w:cs="Arial"/>
                <w:color w:val="000000"/>
                <w:sz w:val="17"/>
                <w:szCs w:val="17"/>
              </w:rPr>
            </w:pPr>
            <w:r w:rsidRPr="00BA272D">
              <w:rPr>
                <w:rFonts w:ascii="Arial" w:hAnsi="Arial" w:cs="Arial"/>
                <w:color w:val="000000"/>
                <w:sz w:val="17"/>
                <w:szCs w:val="17"/>
              </w:rPr>
              <w:t>Lineal</w:t>
            </w:r>
          </w:p>
        </w:tc>
        <w:tc>
          <w:tcPr>
            <w:tcW w:w="423" w:type="pct"/>
            <w:tcBorders>
              <w:top w:val="nil"/>
              <w:left w:val="nil"/>
              <w:bottom w:val="single" w:sz="4" w:space="0" w:color="auto"/>
              <w:right w:val="single" w:sz="4" w:space="0" w:color="auto"/>
            </w:tcBorders>
            <w:shd w:val="clear" w:color="auto" w:fill="auto"/>
            <w:hideMark/>
          </w:tcPr>
          <w:p w:rsidR="003B1811" w:rsidRPr="00BA272D" w:rsidRDefault="003B1811" w:rsidP="003B1811">
            <w:pPr>
              <w:rPr>
                <w:rFonts w:ascii="Arial" w:hAnsi="Arial" w:cs="Arial"/>
                <w:sz w:val="17"/>
                <w:szCs w:val="17"/>
              </w:rPr>
            </w:pPr>
            <w:r w:rsidRPr="00BA272D">
              <w:rPr>
                <w:rFonts w:ascii="Arial" w:hAnsi="Arial" w:cs="Arial"/>
                <w:sz w:val="17"/>
                <w:szCs w:val="17"/>
              </w:rPr>
              <w:t>2% anual</w:t>
            </w:r>
          </w:p>
        </w:tc>
        <w:tc>
          <w:tcPr>
            <w:tcW w:w="471" w:type="pct"/>
            <w:tcBorders>
              <w:top w:val="nil"/>
              <w:left w:val="nil"/>
              <w:bottom w:val="single" w:sz="4" w:space="0" w:color="auto"/>
              <w:right w:val="single" w:sz="4" w:space="0" w:color="auto"/>
            </w:tcBorders>
            <w:shd w:val="clear" w:color="auto" w:fill="auto"/>
            <w:vAlign w:val="center"/>
            <w:hideMark/>
          </w:tcPr>
          <w:p w:rsidR="003B1811" w:rsidRPr="00BA272D" w:rsidRDefault="003B1811" w:rsidP="003B1811">
            <w:pPr>
              <w:rPr>
                <w:rFonts w:ascii="Arial" w:hAnsi="Arial" w:cs="Arial"/>
                <w:color w:val="000000"/>
                <w:sz w:val="17"/>
                <w:szCs w:val="17"/>
              </w:rPr>
            </w:pPr>
            <w:r w:rsidRPr="00BA272D">
              <w:rPr>
                <w:rFonts w:ascii="Arial" w:hAnsi="Arial" w:cs="Arial"/>
                <w:color w:val="000000"/>
                <w:sz w:val="17"/>
                <w:szCs w:val="17"/>
              </w:rPr>
              <w:t>Emitido por CONAC</w:t>
            </w:r>
          </w:p>
        </w:tc>
        <w:tc>
          <w:tcPr>
            <w:tcW w:w="664" w:type="pct"/>
            <w:tcBorders>
              <w:top w:val="single" w:sz="4" w:space="0" w:color="auto"/>
              <w:left w:val="nil"/>
              <w:bottom w:val="single" w:sz="4" w:space="0" w:color="auto"/>
              <w:right w:val="single" w:sz="4" w:space="0" w:color="auto"/>
            </w:tcBorders>
            <w:shd w:val="clear" w:color="auto" w:fill="auto"/>
          </w:tcPr>
          <w:p w:rsidR="003B1811" w:rsidRPr="005970D8" w:rsidRDefault="003B1811" w:rsidP="003B1811">
            <w:pPr>
              <w:jc w:val="center"/>
              <w:rPr>
                <w:rFonts w:ascii="Arial" w:hAnsi="Arial" w:cs="Arial"/>
                <w:sz w:val="17"/>
                <w:szCs w:val="17"/>
              </w:rPr>
            </w:pPr>
            <w:r w:rsidRPr="005970D8">
              <w:rPr>
                <w:rFonts w:ascii="Arial" w:hAnsi="Arial" w:cs="Arial"/>
                <w:color w:val="000000"/>
                <w:sz w:val="17"/>
                <w:szCs w:val="17"/>
              </w:rPr>
              <w:t>8</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B1811" w:rsidRPr="00BA272D" w:rsidRDefault="003B1811" w:rsidP="003B1811">
            <w:pPr>
              <w:jc w:val="center"/>
              <w:rPr>
                <w:rFonts w:ascii="Arial" w:hAnsi="Arial" w:cs="Arial"/>
                <w:sz w:val="17"/>
                <w:szCs w:val="17"/>
                <w:highlight w:val="yellow"/>
              </w:rPr>
            </w:pPr>
          </w:p>
        </w:tc>
      </w:tr>
      <w:tr w:rsidR="003B1811" w:rsidRPr="00BA272D" w:rsidTr="003B1811">
        <w:trPr>
          <w:trHeight w:val="221"/>
        </w:trPr>
        <w:tc>
          <w:tcPr>
            <w:tcW w:w="868" w:type="pct"/>
            <w:tcBorders>
              <w:top w:val="nil"/>
              <w:left w:val="single" w:sz="4" w:space="0" w:color="auto"/>
              <w:bottom w:val="single" w:sz="4" w:space="0" w:color="auto"/>
              <w:right w:val="single" w:sz="4" w:space="0" w:color="auto"/>
            </w:tcBorders>
            <w:shd w:val="clear" w:color="auto" w:fill="auto"/>
            <w:vAlign w:val="center"/>
            <w:hideMark/>
          </w:tcPr>
          <w:p w:rsidR="003B1811" w:rsidRPr="00BA272D" w:rsidRDefault="003B1811" w:rsidP="003B1811">
            <w:pPr>
              <w:rPr>
                <w:rFonts w:ascii="Arial" w:hAnsi="Arial" w:cs="Arial"/>
                <w:color w:val="000000"/>
                <w:sz w:val="17"/>
                <w:szCs w:val="17"/>
              </w:rPr>
            </w:pPr>
            <w:r w:rsidRPr="00BA272D">
              <w:rPr>
                <w:rFonts w:ascii="Arial" w:hAnsi="Arial" w:cs="Arial"/>
                <w:color w:val="000000"/>
                <w:sz w:val="17"/>
                <w:szCs w:val="17"/>
              </w:rPr>
              <w:t>Edificios no habitacionales</w:t>
            </w:r>
          </w:p>
        </w:tc>
        <w:tc>
          <w:tcPr>
            <w:tcW w:w="799" w:type="pct"/>
            <w:tcBorders>
              <w:top w:val="nil"/>
              <w:left w:val="nil"/>
              <w:bottom w:val="single" w:sz="4" w:space="0" w:color="auto"/>
              <w:right w:val="single" w:sz="4" w:space="0" w:color="auto"/>
            </w:tcBorders>
            <w:shd w:val="clear" w:color="auto" w:fill="auto"/>
          </w:tcPr>
          <w:p w:rsidR="003B1811" w:rsidRPr="00BA272D" w:rsidRDefault="003B1811" w:rsidP="003B1811">
            <w:pPr>
              <w:jc w:val="right"/>
              <w:rPr>
                <w:rFonts w:ascii="Arial" w:hAnsi="Arial" w:cs="Arial"/>
                <w:sz w:val="17"/>
                <w:szCs w:val="17"/>
              </w:rPr>
            </w:pPr>
            <w:r w:rsidRPr="00BA272D">
              <w:rPr>
                <w:rFonts w:ascii="Arial" w:hAnsi="Arial" w:cs="Arial"/>
                <w:sz w:val="17"/>
                <w:szCs w:val="17"/>
              </w:rPr>
              <w:t xml:space="preserve"> 458,076 </w:t>
            </w:r>
          </w:p>
        </w:tc>
        <w:tc>
          <w:tcPr>
            <w:tcW w:w="537" w:type="pct"/>
            <w:tcBorders>
              <w:top w:val="nil"/>
              <w:left w:val="nil"/>
              <w:bottom w:val="single" w:sz="4" w:space="0" w:color="auto"/>
              <w:right w:val="single" w:sz="4" w:space="0" w:color="auto"/>
            </w:tcBorders>
            <w:shd w:val="clear" w:color="auto" w:fill="auto"/>
          </w:tcPr>
          <w:p w:rsidR="003B1811" w:rsidRPr="00BA272D" w:rsidRDefault="003B1811" w:rsidP="003B1811">
            <w:pPr>
              <w:jc w:val="right"/>
              <w:rPr>
                <w:rFonts w:ascii="Arial" w:hAnsi="Arial" w:cs="Arial"/>
                <w:sz w:val="17"/>
                <w:szCs w:val="17"/>
              </w:rPr>
            </w:pPr>
            <w:r w:rsidRPr="00BA272D">
              <w:rPr>
                <w:rFonts w:ascii="Arial" w:hAnsi="Arial" w:cs="Arial"/>
                <w:sz w:val="17"/>
                <w:szCs w:val="17"/>
              </w:rPr>
              <w:t xml:space="preserve"> 3,408,141 </w:t>
            </w:r>
          </w:p>
        </w:tc>
        <w:tc>
          <w:tcPr>
            <w:tcW w:w="537" w:type="pct"/>
            <w:tcBorders>
              <w:top w:val="nil"/>
              <w:left w:val="nil"/>
              <w:bottom w:val="single" w:sz="4" w:space="0" w:color="auto"/>
              <w:right w:val="single" w:sz="4" w:space="0" w:color="auto"/>
            </w:tcBorders>
            <w:shd w:val="clear" w:color="auto" w:fill="auto"/>
            <w:hideMark/>
          </w:tcPr>
          <w:p w:rsidR="003B1811" w:rsidRPr="00BA272D" w:rsidRDefault="003B1811" w:rsidP="003B1811">
            <w:pPr>
              <w:rPr>
                <w:rFonts w:ascii="Arial" w:hAnsi="Arial" w:cs="Arial"/>
                <w:color w:val="000000"/>
                <w:sz w:val="17"/>
                <w:szCs w:val="17"/>
              </w:rPr>
            </w:pPr>
            <w:r w:rsidRPr="00BA272D">
              <w:rPr>
                <w:rFonts w:ascii="Arial" w:hAnsi="Arial" w:cs="Arial"/>
                <w:color w:val="000000"/>
                <w:sz w:val="17"/>
                <w:szCs w:val="17"/>
              </w:rPr>
              <w:t>Lineal</w:t>
            </w:r>
          </w:p>
        </w:tc>
        <w:tc>
          <w:tcPr>
            <w:tcW w:w="423" w:type="pct"/>
            <w:tcBorders>
              <w:top w:val="nil"/>
              <w:left w:val="nil"/>
              <w:bottom w:val="single" w:sz="4" w:space="0" w:color="auto"/>
              <w:right w:val="single" w:sz="4" w:space="0" w:color="auto"/>
            </w:tcBorders>
            <w:shd w:val="clear" w:color="auto" w:fill="auto"/>
            <w:hideMark/>
          </w:tcPr>
          <w:p w:rsidR="003B1811" w:rsidRPr="00BA272D" w:rsidRDefault="003B1811" w:rsidP="003B1811">
            <w:pPr>
              <w:rPr>
                <w:rFonts w:ascii="Arial" w:hAnsi="Arial" w:cs="Arial"/>
                <w:sz w:val="17"/>
                <w:szCs w:val="17"/>
              </w:rPr>
            </w:pPr>
            <w:r w:rsidRPr="00BA272D">
              <w:rPr>
                <w:rFonts w:ascii="Arial" w:hAnsi="Arial" w:cs="Arial"/>
                <w:sz w:val="17"/>
                <w:szCs w:val="17"/>
              </w:rPr>
              <w:t>3.3% anual</w:t>
            </w:r>
          </w:p>
        </w:tc>
        <w:tc>
          <w:tcPr>
            <w:tcW w:w="471" w:type="pct"/>
            <w:tcBorders>
              <w:top w:val="nil"/>
              <w:left w:val="nil"/>
              <w:bottom w:val="single" w:sz="4" w:space="0" w:color="auto"/>
              <w:right w:val="single" w:sz="4" w:space="0" w:color="auto"/>
            </w:tcBorders>
            <w:shd w:val="clear" w:color="auto" w:fill="auto"/>
            <w:vAlign w:val="center"/>
            <w:hideMark/>
          </w:tcPr>
          <w:p w:rsidR="003B1811" w:rsidRPr="00BA272D" w:rsidRDefault="003B1811" w:rsidP="003B1811">
            <w:pPr>
              <w:rPr>
                <w:rFonts w:ascii="Arial" w:hAnsi="Arial" w:cs="Arial"/>
                <w:color w:val="000000"/>
                <w:sz w:val="17"/>
                <w:szCs w:val="17"/>
              </w:rPr>
            </w:pPr>
            <w:r w:rsidRPr="00BA272D">
              <w:rPr>
                <w:rFonts w:ascii="Arial" w:hAnsi="Arial" w:cs="Arial"/>
                <w:color w:val="000000"/>
                <w:sz w:val="17"/>
                <w:szCs w:val="17"/>
              </w:rPr>
              <w:t>Emitido por CONAC</w:t>
            </w:r>
          </w:p>
        </w:tc>
        <w:tc>
          <w:tcPr>
            <w:tcW w:w="664" w:type="pct"/>
            <w:tcBorders>
              <w:top w:val="single" w:sz="4" w:space="0" w:color="auto"/>
              <w:left w:val="nil"/>
              <w:bottom w:val="single" w:sz="4" w:space="0" w:color="auto"/>
              <w:right w:val="single" w:sz="4" w:space="0" w:color="auto"/>
            </w:tcBorders>
            <w:shd w:val="clear" w:color="auto" w:fill="auto"/>
          </w:tcPr>
          <w:p w:rsidR="003B1811" w:rsidRPr="005970D8" w:rsidRDefault="003B1811" w:rsidP="003B1811">
            <w:pPr>
              <w:jc w:val="center"/>
              <w:rPr>
                <w:rFonts w:ascii="Arial" w:hAnsi="Arial" w:cs="Arial"/>
                <w:color w:val="000000"/>
                <w:sz w:val="17"/>
                <w:szCs w:val="17"/>
              </w:rPr>
            </w:pPr>
            <w:r w:rsidRPr="005970D8">
              <w:rPr>
                <w:rFonts w:ascii="Arial" w:hAnsi="Arial" w:cs="Arial"/>
                <w:color w:val="000000"/>
                <w:sz w:val="17"/>
                <w:szCs w:val="17"/>
              </w:rPr>
              <w:t>1,183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B1811" w:rsidRPr="00BA272D" w:rsidRDefault="003B1811" w:rsidP="003B1811">
            <w:pPr>
              <w:jc w:val="center"/>
              <w:rPr>
                <w:rFonts w:ascii="Arial" w:hAnsi="Arial" w:cs="Arial"/>
                <w:color w:val="000000"/>
                <w:sz w:val="17"/>
                <w:szCs w:val="17"/>
                <w:highlight w:val="yellow"/>
              </w:rPr>
            </w:pPr>
          </w:p>
        </w:tc>
      </w:tr>
      <w:tr w:rsidR="003B1811" w:rsidRPr="00BA272D" w:rsidTr="003B1811">
        <w:trPr>
          <w:trHeight w:val="221"/>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1811" w:rsidRPr="00BA272D" w:rsidRDefault="003B1811" w:rsidP="003B1811">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7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811" w:rsidRPr="00BA272D" w:rsidRDefault="003B1811" w:rsidP="003B1811">
            <w:pPr>
              <w:jc w:val="right"/>
              <w:rPr>
                <w:rFonts w:ascii="Arial" w:hAnsi="Arial" w:cs="Arial"/>
                <w:b/>
                <w:sz w:val="17"/>
                <w:szCs w:val="17"/>
              </w:rPr>
            </w:pPr>
            <w:r w:rsidRPr="00BA272D">
              <w:rPr>
                <w:rFonts w:ascii="Arial" w:hAnsi="Arial" w:cs="Arial"/>
                <w:b/>
                <w:sz w:val="17"/>
                <w:szCs w:val="17"/>
              </w:rPr>
              <w:t xml:space="preserve"> 469,483 </w:t>
            </w:r>
          </w:p>
        </w:tc>
        <w:tc>
          <w:tcPr>
            <w:tcW w:w="53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1811" w:rsidRPr="00BA272D" w:rsidRDefault="003B1811" w:rsidP="003B1811">
            <w:pPr>
              <w:jc w:val="right"/>
              <w:rPr>
                <w:rFonts w:ascii="Arial" w:hAnsi="Arial" w:cs="Arial"/>
                <w:b/>
                <w:sz w:val="17"/>
                <w:szCs w:val="17"/>
              </w:rPr>
            </w:pPr>
            <w:r w:rsidRPr="00BA272D">
              <w:rPr>
                <w:rFonts w:ascii="Arial" w:hAnsi="Arial" w:cs="Arial"/>
                <w:b/>
                <w:sz w:val="17"/>
                <w:szCs w:val="17"/>
              </w:rPr>
              <w:t xml:space="preserve"> 3,471,830 </w:t>
            </w:r>
          </w:p>
        </w:tc>
        <w:tc>
          <w:tcPr>
            <w:tcW w:w="537" w:type="pct"/>
            <w:tcBorders>
              <w:top w:val="single" w:sz="4" w:space="0" w:color="auto"/>
              <w:left w:val="single" w:sz="4" w:space="0" w:color="auto"/>
              <w:bottom w:val="single" w:sz="4" w:space="0" w:color="auto"/>
            </w:tcBorders>
            <w:shd w:val="clear" w:color="auto" w:fill="BFBFBF" w:themeFill="background1" w:themeFillShade="BF"/>
            <w:noWrap/>
            <w:vAlign w:val="bottom"/>
            <w:hideMark/>
          </w:tcPr>
          <w:p w:rsidR="003B1811" w:rsidRPr="00BA272D" w:rsidRDefault="003B1811" w:rsidP="003B1811">
            <w:pPr>
              <w:rPr>
                <w:rFonts w:ascii="Arial" w:hAnsi="Arial" w:cs="Arial"/>
                <w:b/>
                <w:color w:val="000000"/>
                <w:sz w:val="17"/>
                <w:szCs w:val="17"/>
              </w:rPr>
            </w:pPr>
            <w:r w:rsidRPr="00BA272D">
              <w:rPr>
                <w:rFonts w:ascii="Arial" w:hAnsi="Arial" w:cs="Arial"/>
                <w:b/>
                <w:color w:val="000000"/>
                <w:sz w:val="17"/>
                <w:szCs w:val="17"/>
              </w:rPr>
              <w:t> </w:t>
            </w:r>
          </w:p>
        </w:tc>
        <w:tc>
          <w:tcPr>
            <w:tcW w:w="423" w:type="pct"/>
            <w:tcBorders>
              <w:top w:val="single" w:sz="4" w:space="0" w:color="auto"/>
              <w:bottom w:val="single" w:sz="4" w:space="0" w:color="auto"/>
            </w:tcBorders>
            <w:shd w:val="clear" w:color="auto" w:fill="BFBFBF" w:themeFill="background1" w:themeFillShade="BF"/>
            <w:noWrap/>
            <w:vAlign w:val="bottom"/>
            <w:hideMark/>
          </w:tcPr>
          <w:p w:rsidR="003B1811" w:rsidRPr="00BA272D" w:rsidRDefault="003B1811" w:rsidP="003B1811">
            <w:pPr>
              <w:rPr>
                <w:rFonts w:ascii="Arial" w:hAnsi="Arial" w:cs="Arial"/>
                <w:b/>
                <w:bCs/>
                <w:color w:val="FF0000"/>
                <w:sz w:val="17"/>
                <w:szCs w:val="17"/>
              </w:rPr>
            </w:pPr>
            <w:r w:rsidRPr="00BA272D">
              <w:rPr>
                <w:rFonts w:ascii="Arial" w:hAnsi="Arial" w:cs="Arial"/>
                <w:b/>
                <w:bCs/>
                <w:color w:val="FF0000"/>
                <w:sz w:val="17"/>
                <w:szCs w:val="17"/>
              </w:rPr>
              <w:t> </w:t>
            </w:r>
          </w:p>
        </w:tc>
        <w:tc>
          <w:tcPr>
            <w:tcW w:w="471" w:type="pct"/>
            <w:tcBorders>
              <w:top w:val="single" w:sz="4" w:space="0" w:color="auto"/>
              <w:bottom w:val="single" w:sz="4" w:space="0" w:color="auto"/>
            </w:tcBorders>
            <w:shd w:val="clear" w:color="auto" w:fill="BFBFBF" w:themeFill="background1" w:themeFillShade="BF"/>
            <w:noWrap/>
            <w:vAlign w:val="bottom"/>
            <w:hideMark/>
          </w:tcPr>
          <w:p w:rsidR="003B1811" w:rsidRPr="00BA272D" w:rsidRDefault="003B1811" w:rsidP="003B1811">
            <w:pPr>
              <w:rPr>
                <w:rFonts w:ascii="Arial" w:hAnsi="Arial" w:cs="Arial"/>
                <w:b/>
                <w:bCs/>
                <w:color w:val="FF0000"/>
                <w:sz w:val="17"/>
                <w:szCs w:val="17"/>
              </w:rPr>
            </w:pPr>
            <w:r w:rsidRPr="00BA272D">
              <w:rPr>
                <w:rFonts w:ascii="Arial" w:hAnsi="Arial" w:cs="Arial"/>
                <w:b/>
                <w:bCs/>
                <w:color w:val="FF0000"/>
                <w:sz w:val="17"/>
                <w:szCs w:val="17"/>
              </w:rPr>
              <w:t> </w:t>
            </w:r>
          </w:p>
        </w:tc>
        <w:tc>
          <w:tcPr>
            <w:tcW w:w="664" w:type="pct"/>
            <w:tcBorders>
              <w:top w:val="single" w:sz="4" w:space="0" w:color="auto"/>
              <w:bottom w:val="single" w:sz="4" w:space="0" w:color="auto"/>
            </w:tcBorders>
            <w:shd w:val="clear" w:color="auto" w:fill="BFBFBF" w:themeFill="background1" w:themeFillShade="BF"/>
          </w:tcPr>
          <w:p w:rsidR="003B1811" w:rsidRPr="00BA272D" w:rsidRDefault="003B1811" w:rsidP="003B1811">
            <w:pPr>
              <w:rPr>
                <w:rFonts w:ascii="Arial" w:hAnsi="Arial" w:cs="Arial"/>
                <w:b/>
                <w:bCs/>
                <w:color w:val="FF0000"/>
                <w:sz w:val="17"/>
                <w:szCs w:val="17"/>
              </w:rPr>
            </w:pPr>
          </w:p>
        </w:tc>
        <w:tc>
          <w:tcPr>
            <w:tcW w:w="700" w:type="pct"/>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3B1811" w:rsidRPr="00BA272D" w:rsidRDefault="003B1811" w:rsidP="003B1811">
            <w:pPr>
              <w:rPr>
                <w:rFonts w:ascii="Arial" w:hAnsi="Arial" w:cs="Arial"/>
                <w:b/>
                <w:bCs/>
                <w:color w:val="FF0000"/>
                <w:sz w:val="17"/>
                <w:szCs w:val="17"/>
              </w:rPr>
            </w:pPr>
            <w:r w:rsidRPr="00BA272D">
              <w:rPr>
                <w:rFonts w:ascii="Arial" w:hAnsi="Arial" w:cs="Arial"/>
                <w:b/>
                <w:bCs/>
                <w:color w:val="FF0000"/>
                <w:sz w:val="17"/>
                <w:szCs w:val="17"/>
              </w:rPr>
              <w:t> </w:t>
            </w:r>
          </w:p>
        </w:tc>
      </w:tr>
    </w:tbl>
    <w:p w:rsidR="00736EB3" w:rsidRDefault="00736EB3" w:rsidP="003822F9">
      <w:pPr>
        <w:spacing w:line="259" w:lineRule="auto"/>
        <w:rPr>
          <w:rFonts w:ascii="Arial" w:eastAsia="Calibri" w:hAnsi="Arial" w:cs="Arial"/>
          <w:b/>
          <w:spacing w:val="-1"/>
          <w:sz w:val="17"/>
          <w:szCs w:val="17"/>
        </w:rPr>
      </w:pPr>
    </w:p>
    <w:p w:rsidR="00736EB3" w:rsidRDefault="00736EB3" w:rsidP="00F71E5C">
      <w:pPr>
        <w:spacing w:line="259" w:lineRule="auto"/>
        <w:ind w:left="709"/>
        <w:jc w:val="center"/>
        <w:rPr>
          <w:rFonts w:ascii="Arial" w:eastAsia="Calibri" w:hAnsi="Arial" w:cs="Arial"/>
          <w:b/>
          <w:spacing w:val="-1"/>
          <w:sz w:val="17"/>
          <w:szCs w:val="17"/>
        </w:rPr>
      </w:pPr>
    </w:p>
    <w:p w:rsidR="00F71E5C" w:rsidRPr="00BA272D" w:rsidRDefault="00F71E5C" w:rsidP="003822F9">
      <w:pPr>
        <w:spacing w:before="80" w:line="250" w:lineRule="exact"/>
        <w:jc w:val="both"/>
        <w:rPr>
          <w:rFonts w:ascii="Arial" w:eastAsia="Calibri" w:hAnsi="Arial" w:cs="Arial"/>
          <w:b/>
          <w:spacing w:val="-1"/>
          <w:sz w:val="17"/>
          <w:szCs w:val="17"/>
        </w:rPr>
      </w:pPr>
    </w:p>
    <w:p w:rsidR="00F71E5C" w:rsidRPr="00BA272D" w:rsidRDefault="00F71E5C" w:rsidP="00E04585">
      <w:pPr>
        <w:tabs>
          <w:tab w:val="left" w:pos="709"/>
        </w:tabs>
        <w:spacing w:before="80" w:line="250" w:lineRule="exact"/>
        <w:ind w:left="709"/>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Se informa de manera agrupada por cuenta, el rubro de Bienes Muebles,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8982" w:type="dxa"/>
        <w:tblInd w:w="2284" w:type="dxa"/>
        <w:tblCellMar>
          <w:left w:w="70" w:type="dxa"/>
          <w:right w:w="70" w:type="dxa"/>
        </w:tblCellMar>
        <w:tblLook w:val="04A0" w:firstRow="1" w:lastRow="0" w:firstColumn="1" w:lastColumn="0" w:noHBand="0" w:noVBand="1"/>
      </w:tblPr>
      <w:tblGrid>
        <w:gridCol w:w="4458"/>
        <w:gridCol w:w="2301"/>
        <w:gridCol w:w="2223"/>
      </w:tblGrid>
      <w:tr w:rsidR="00F71E5C" w:rsidRPr="00BA272D" w:rsidTr="00E04585">
        <w:trPr>
          <w:trHeight w:val="480"/>
        </w:trPr>
        <w:tc>
          <w:tcPr>
            <w:tcW w:w="4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23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Mobiliario y Equipo de Administración</w:t>
            </w:r>
          </w:p>
        </w:tc>
        <w:tc>
          <w:tcPr>
            <w:tcW w:w="2301" w:type="dxa"/>
            <w:tcBorders>
              <w:top w:val="single" w:sz="4" w:space="0" w:color="auto"/>
              <w:left w:val="nil"/>
              <w:bottom w:val="single" w:sz="4" w:space="0" w:color="auto"/>
              <w:right w:val="single" w:sz="4" w:space="0" w:color="auto"/>
            </w:tcBorders>
            <w:shd w:val="clear" w:color="auto" w:fill="auto"/>
          </w:tcPr>
          <w:p w:rsidR="00FB1EEE" w:rsidRPr="00FA6C16" w:rsidRDefault="00FB1EEE" w:rsidP="009F0179">
            <w:pPr>
              <w:jc w:val="right"/>
              <w:rPr>
                <w:rFonts w:ascii="Arial" w:hAnsi="Arial" w:cs="Arial"/>
                <w:sz w:val="17"/>
                <w:szCs w:val="17"/>
              </w:rPr>
            </w:pPr>
            <w:r w:rsidRPr="00FA6C16">
              <w:rPr>
                <w:rFonts w:ascii="Arial" w:hAnsi="Arial" w:cs="Arial"/>
                <w:sz w:val="17"/>
                <w:szCs w:val="17"/>
              </w:rPr>
              <w:t xml:space="preserve"> </w:t>
            </w:r>
            <w:r w:rsidR="009F0179" w:rsidRPr="00FA6C16">
              <w:rPr>
                <w:rFonts w:ascii="Arial" w:hAnsi="Arial" w:cs="Arial"/>
                <w:sz w:val="17"/>
                <w:szCs w:val="17"/>
              </w:rPr>
              <w:t>739,888,317</w:t>
            </w:r>
            <w:r w:rsidRPr="00FA6C16">
              <w:rPr>
                <w:rFonts w:ascii="Arial" w:hAnsi="Arial" w:cs="Arial"/>
                <w:sz w:val="17"/>
                <w:szCs w:val="17"/>
              </w:rPr>
              <w:t xml:space="preserve"> </w:t>
            </w:r>
          </w:p>
        </w:tc>
        <w:tc>
          <w:tcPr>
            <w:tcW w:w="2223" w:type="dxa"/>
            <w:tcBorders>
              <w:top w:val="nil"/>
              <w:left w:val="single" w:sz="4" w:space="0" w:color="auto"/>
              <w:bottom w:val="single" w:sz="4" w:space="0" w:color="auto"/>
              <w:right w:val="single" w:sz="4" w:space="0" w:color="auto"/>
            </w:tcBorders>
            <w:shd w:val="clear" w:color="auto" w:fill="auto"/>
          </w:tcPr>
          <w:p w:rsidR="00FB1EEE" w:rsidRPr="00FA6C16" w:rsidRDefault="009F0179" w:rsidP="00FB1EEE">
            <w:pPr>
              <w:jc w:val="right"/>
              <w:rPr>
                <w:rFonts w:ascii="Arial" w:hAnsi="Arial" w:cs="Arial"/>
                <w:sz w:val="17"/>
                <w:szCs w:val="17"/>
              </w:rPr>
            </w:pPr>
            <w:r w:rsidRPr="00FA6C16">
              <w:rPr>
                <w:rFonts w:ascii="Arial" w:hAnsi="Arial" w:cs="Arial"/>
                <w:sz w:val="17"/>
                <w:szCs w:val="17"/>
              </w:rPr>
              <w:t>730,147,375</w:t>
            </w:r>
            <w:r w:rsidR="00FB1EEE" w:rsidRPr="00FA6C16">
              <w:rPr>
                <w:rFonts w:ascii="Arial" w:hAnsi="Arial" w:cs="Arial"/>
                <w:sz w:val="17"/>
                <w:szCs w:val="17"/>
              </w:rPr>
              <w:t xml:space="preserve"> </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Mobiliario y Equipo Educacional y Recreativo</w:t>
            </w:r>
          </w:p>
        </w:tc>
        <w:tc>
          <w:tcPr>
            <w:tcW w:w="2301" w:type="dxa"/>
            <w:tcBorders>
              <w:top w:val="single" w:sz="4" w:space="0" w:color="auto"/>
              <w:left w:val="nil"/>
              <w:bottom w:val="single" w:sz="4" w:space="0" w:color="auto"/>
              <w:right w:val="single" w:sz="4" w:space="0" w:color="auto"/>
            </w:tcBorders>
            <w:shd w:val="clear" w:color="auto" w:fill="auto"/>
          </w:tcPr>
          <w:p w:rsidR="00FB1EEE" w:rsidRPr="00B331BC" w:rsidRDefault="00FB1EEE" w:rsidP="00FB1EEE">
            <w:pPr>
              <w:jc w:val="right"/>
              <w:rPr>
                <w:rFonts w:ascii="Arial" w:hAnsi="Arial" w:cs="Arial"/>
                <w:sz w:val="17"/>
                <w:szCs w:val="17"/>
              </w:rPr>
            </w:pPr>
            <w:r w:rsidRPr="00B331BC">
              <w:rPr>
                <w:rFonts w:ascii="Arial" w:hAnsi="Arial" w:cs="Arial"/>
                <w:sz w:val="17"/>
                <w:szCs w:val="17"/>
              </w:rPr>
              <w:t xml:space="preserve"> 83,977,758 </w:t>
            </w:r>
          </w:p>
        </w:tc>
        <w:tc>
          <w:tcPr>
            <w:tcW w:w="2223" w:type="dxa"/>
            <w:tcBorders>
              <w:top w:val="nil"/>
              <w:left w:val="single" w:sz="4" w:space="0" w:color="auto"/>
              <w:bottom w:val="single" w:sz="4" w:space="0" w:color="auto"/>
              <w:right w:val="single" w:sz="4" w:space="0" w:color="auto"/>
            </w:tcBorders>
            <w:shd w:val="clear" w:color="auto" w:fill="auto"/>
          </w:tcPr>
          <w:p w:rsidR="00FB1EEE" w:rsidRPr="00B331BC" w:rsidRDefault="00FB1EEE" w:rsidP="00FB1EEE">
            <w:pPr>
              <w:jc w:val="right"/>
              <w:rPr>
                <w:rFonts w:ascii="Arial" w:hAnsi="Arial" w:cs="Arial"/>
                <w:sz w:val="17"/>
                <w:szCs w:val="17"/>
              </w:rPr>
            </w:pPr>
            <w:r w:rsidRPr="00B331BC">
              <w:rPr>
                <w:rFonts w:ascii="Arial" w:hAnsi="Arial" w:cs="Arial"/>
                <w:sz w:val="17"/>
                <w:szCs w:val="17"/>
              </w:rPr>
              <w:t xml:space="preserve"> 89,216,101 </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Equipo e Instrumental Médico y de Laboratorio</w:t>
            </w:r>
          </w:p>
        </w:tc>
        <w:tc>
          <w:tcPr>
            <w:tcW w:w="2301" w:type="dxa"/>
            <w:tcBorders>
              <w:top w:val="single" w:sz="4" w:space="0" w:color="auto"/>
              <w:left w:val="nil"/>
              <w:bottom w:val="single" w:sz="4" w:space="0" w:color="auto"/>
              <w:right w:val="single" w:sz="4" w:space="0" w:color="auto"/>
            </w:tcBorders>
            <w:shd w:val="clear" w:color="auto" w:fill="auto"/>
          </w:tcPr>
          <w:p w:rsidR="00FB1EEE" w:rsidRPr="00FA6C16" w:rsidRDefault="00FB1EEE" w:rsidP="00FB1EEE">
            <w:pPr>
              <w:jc w:val="right"/>
              <w:rPr>
                <w:rFonts w:ascii="Arial" w:hAnsi="Arial" w:cs="Arial"/>
                <w:sz w:val="17"/>
                <w:szCs w:val="17"/>
              </w:rPr>
            </w:pPr>
            <w:r w:rsidRPr="00FA6C16">
              <w:rPr>
                <w:rFonts w:ascii="Arial" w:hAnsi="Arial" w:cs="Arial"/>
                <w:sz w:val="17"/>
                <w:szCs w:val="17"/>
              </w:rPr>
              <w:t xml:space="preserve"> 25,009,212 </w:t>
            </w:r>
          </w:p>
        </w:tc>
        <w:tc>
          <w:tcPr>
            <w:tcW w:w="2223" w:type="dxa"/>
            <w:tcBorders>
              <w:top w:val="nil"/>
              <w:left w:val="single" w:sz="4" w:space="0" w:color="auto"/>
              <w:bottom w:val="single" w:sz="4" w:space="0" w:color="auto"/>
              <w:right w:val="single" w:sz="4" w:space="0" w:color="auto"/>
            </w:tcBorders>
            <w:shd w:val="clear" w:color="auto" w:fill="auto"/>
          </w:tcPr>
          <w:p w:rsidR="00FB1EEE" w:rsidRPr="00FA6C16" w:rsidRDefault="00FB1EEE" w:rsidP="00FB1EEE">
            <w:pPr>
              <w:jc w:val="right"/>
              <w:rPr>
                <w:rFonts w:ascii="Arial" w:hAnsi="Arial" w:cs="Arial"/>
                <w:sz w:val="17"/>
                <w:szCs w:val="17"/>
              </w:rPr>
            </w:pPr>
            <w:r w:rsidRPr="00FA6C16">
              <w:rPr>
                <w:rFonts w:ascii="Arial" w:hAnsi="Arial" w:cs="Arial"/>
                <w:sz w:val="17"/>
                <w:szCs w:val="17"/>
              </w:rPr>
              <w:t xml:space="preserve"> 25,995,449 </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Vehículos y Equipo de Transporte</w:t>
            </w:r>
          </w:p>
        </w:tc>
        <w:tc>
          <w:tcPr>
            <w:tcW w:w="2301" w:type="dxa"/>
            <w:tcBorders>
              <w:top w:val="single" w:sz="4" w:space="0" w:color="auto"/>
              <w:left w:val="nil"/>
              <w:bottom w:val="single" w:sz="4" w:space="0" w:color="auto"/>
              <w:right w:val="single" w:sz="4" w:space="0" w:color="auto"/>
            </w:tcBorders>
            <w:shd w:val="clear" w:color="auto" w:fill="auto"/>
          </w:tcPr>
          <w:p w:rsidR="00FB1EEE" w:rsidRPr="00FA6C16" w:rsidRDefault="009F0179" w:rsidP="00FB1EEE">
            <w:pPr>
              <w:jc w:val="right"/>
              <w:rPr>
                <w:rFonts w:ascii="Arial" w:hAnsi="Arial" w:cs="Arial"/>
                <w:sz w:val="17"/>
                <w:szCs w:val="17"/>
              </w:rPr>
            </w:pPr>
            <w:r w:rsidRPr="00FA6C16">
              <w:rPr>
                <w:rFonts w:ascii="Arial" w:hAnsi="Arial" w:cs="Arial"/>
                <w:sz w:val="17"/>
                <w:szCs w:val="17"/>
              </w:rPr>
              <w:t>1,164,749,253</w:t>
            </w:r>
            <w:r w:rsidR="00FB1EEE" w:rsidRPr="00FA6C16">
              <w:rPr>
                <w:rFonts w:ascii="Arial" w:hAnsi="Arial" w:cs="Arial"/>
                <w:sz w:val="17"/>
                <w:szCs w:val="17"/>
              </w:rPr>
              <w:t xml:space="preserve"> </w:t>
            </w:r>
          </w:p>
        </w:tc>
        <w:tc>
          <w:tcPr>
            <w:tcW w:w="2223" w:type="dxa"/>
            <w:tcBorders>
              <w:top w:val="nil"/>
              <w:left w:val="single" w:sz="4" w:space="0" w:color="auto"/>
              <w:bottom w:val="single" w:sz="4" w:space="0" w:color="auto"/>
              <w:right w:val="single" w:sz="4" w:space="0" w:color="auto"/>
            </w:tcBorders>
            <w:shd w:val="clear" w:color="auto" w:fill="auto"/>
          </w:tcPr>
          <w:p w:rsidR="00FB1EEE" w:rsidRPr="00FA6C16" w:rsidRDefault="009F0179" w:rsidP="009F0179">
            <w:pPr>
              <w:jc w:val="right"/>
              <w:rPr>
                <w:rFonts w:ascii="Arial" w:hAnsi="Arial" w:cs="Arial"/>
                <w:sz w:val="17"/>
                <w:szCs w:val="17"/>
              </w:rPr>
            </w:pPr>
            <w:r w:rsidRPr="00FA6C16">
              <w:rPr>
                <w:rFonts w:ascii="Arial" w:hAnsi="Arial" w:cs="Arial"/>
                <w:sz w:val="17"/>
                <w:szCs w:val="17"/>
              </w:rPr>
              <w:t>1,237,722,894</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Equipo de Defensa y Seguridad</w:t>
            </w:r>
          </w:p>
        </w:tc>
        <w:tc>
          <w:tcPr>
            <w:tcW w:w="2301" w:type="dxa"/>
            <w:tcBorders>
              <w:top w:val="single" w:sz="4" w:space="0" w:color="auto"/>
              <w:left w:val="nil"/>
              <w:bottom w:val="single" w:sz="4" w:space="0" w:color="auto"/>
              <w:right w:val="single" w:sz="4" w:space="0" w:color="auto"/>
            </w:tcBorders>
            <w:shd w:val="clear" w:color="auto" w:fill="auto"/>
          </w:tcPr>
          <w:p w:rsidR="00FB1EEE" w:rsidRPr="00FA6C16" w:rsidRDefault="00FB1EEE" w:rsidP="00FB1EEE">
            <w:pPr>
              <w:jc w:val="right"/>
              <w:rPr>
                <w:rFonts w:ascii="Arial" w:hAnsi="Arial" w:cs="Arial"/>
                <w:sz w:val="17"/>
                <w:szCs w:val="17"/>
              </w:rPr>
            </w:pPr>
            <w:r w:rsidRPr="00FA6C16">
              <w:rPr>
                <w:rFonts w:ascii="Arial" w:hAnsi="Arial" w:cs="Arial"/>
                <w:sz w:val="17"/>
                <w:szCs w:val="17"/>
              </w:rPr>
              <w:t xml:space="preserve"> 75,853,973 </w:t>
            </w:r>
          </w:p>
        </w:tc>
        <w:tc>
          <w:tcPr>
            <w:tcW w:w="2223" w:type="dxa"/>
            <w:tcBorders>
              <w:top w:val="nil"/>
              <w:left w:val="single" w:sz="4" w:space="0" w:color="auto"/>
              <w:bottom w:val="single" w:sz="4" w:space="0" w:color="auto"/>
              <w:right w:val="single" w:sz="4" w:space="0" w:color="auto"/>
            </w:tcBorders>
            <w:shd w:val="clear" w:color="auto" w:fill="auto"/>
          </w:tcPr>
          <w:p w:rsidR="00FB1EEE" w:rsidRPr="00FA6C16" w:rsidRDefault="00FB1EEE" w:rsidP="00FB1EEE">
            <w:pPr>
              <w:jc w:val="right"/>
              <w:rPr>
                <w:rFonts w:ascii="Arial" w:hAnsi="Arial" w:cs="Arial"/>
                <w:sz w:val="17"/>
                <w:szCs w:val="17"/>
              </w:rPr>
            </w:pPr>
            <w:r w:rsidRPr="00FA6C16">
              <w:rPr>
                <w:rFonts w:ascii="Arial" w:hAnsi="Arial" w:cs="Arial"/>
                <w:sz w:val="17"/>
                <w:szCs w:val="17"/>
              </w:rPr>
              <w:t xml:space="preserve"> 89,599,060 </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Maquinaria, Otros Equipos y Herramientas</w:t>
            </w:r>
          </w:p>
        </w:tc>
        <w:tc>
          <w:tcPr>
            <w:tcW w:w="2301"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531,025,285 </w:t>
            </w:r>
          </w:p>
        </w:tc>
        <w:tc>
          <w:tcPr>
            <w:tcW w:w="222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516,296,265 </w:t>
            </w:r>
          </w:p>
        </w:tc>
      </w:tr>
      <w:tr w:rsidR="00FB1EEE" w:rsidRPr="00BA272D" w:rsidTr="00E04585">
        <w:trPr>
          <w:trHeight w:val="240"/>
        </w:trPr>
        <w:tc>
          <w:tcPr>
            <w:tcW w:w="445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Colecciones, Obras de Arte y Objetos Valiosos</w:t>
            </w:r>
          </w:p>
        </w:tc>
        <w:tc>
          <w:tcPr>
            <w:tcW w:w="2301"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31,806,819 </w:t>
            </w:r>
          </w:p>
        </w:tc>
        <w:tc>
          <w:tcPr>
            <w:tcW w:w="222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31,826,588 </w:t>
            </w:r>
          </w:p>
        </w:tc>
      </w:tr>
      <w:tr w:rsidR="00FB1EEE" w:rsidRPr="00BA272D" w:rsidTr="00E04585">
        <w:trPr>
          <w:trHeight w:val="240"/>
        </w:trPr>
        <w:tc>
          <w:tcPr>
            <w:tcW w:w="4458"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Activos Biológicos</w:t>
            </w:r>
          </w:p>
        </w:tc>
        <w:tc>
          <w:tcPr>
            <w:tcW w:w="2301"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954,500 </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924,000 </w:t>
            </w:r>
          </w:p>
        </w:tc>
      </w:tr>
      <w:tr w:rsidR="00FB1EEE" w:rsidRPr="0037045C" w:rsidTr="00E04585">
        <w:trPr>
          <w:trHeight w:val="240"/>
        </w:trPr>
        <w:tc>
          <w:tcPr>
            <w:tcW w:w="4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EEE" w:rsidRPr="0037045C" w:rsidRDefault="00FB1EEE" w:rsidP="00FB1EEE">
            <w:pPr>
              <w:jc w:val="center"/>
              <w:rPr>
                <w:rFonts w:ascii="Arial" w:hAnsi="Arial" w:cs="Arial"/>
                <w:b/>
                <w:bCs/>
                <w:color w:val="000000"/>
                <w:sz w:val="17"/>
                <w:szCs w:val="17"/>
              </w:rPr>
            </w:pPr>
            <w:r w:rsidRPr="0037045C">
              <w:rPr>
                <w:rFonts w:ascii="Arial" w:hAnsi="Arial" w:cs="Arial"/>
                <w:b/>
                <w:bCs/>
                <w:color w:val="000000"/>
                <w:sz w:val="17"/>
                <w:szCs w:val="17"/>
              </w:rPr>
              <w:t>Total</w:t>
            </w: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37045C" w:rsidRDefault="00FB1EEE" w:rsidP="00FB1EEE">
            <w:pPr>
              <w:jc w:val="right"/>
              <w:rPr>
                <w:rFonts w:ascii="Arial" w:hAnsi="Arial" w:cs="Arial"/>
                <w:b/>
                <w:sz w:val="17"/>
                <w:szCs w:val="17"/>
              </w:rPr>
            </w:pPr>
            <w:r w:rsidRPr="0037045C">
              <w:rPr>
                <w:rFonts w:ascii="Arial" w:hAnsi="Arial" w:cs="Arial"/>
                <w:b/>
                <w:sz w:val="17"/>
                <w:szCs w:val="17"/>
              </w:rPr>
              <w:t xml:space="preserve"> 2,653,265,118 </w:t>
            </w:r>
          </w:p>
        </w:tc>
        <w:tc>
          <w:tcPr>
            <w:tcW w:w="2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37045C" w:rsidRDefault="00FB1EEE" w:rsidP="00FB1EEE">
            <w:pPr>
              <w:jc w:val="right"/>
              <w:rPr>
                <w:rFonts w:ascii="Arial" w:hAnsi="Arial" w:cs="Arial"/>
                <w:b/>
                <w:sz w:val="17"/>
                <w:szCs w:val="17"/>
              </w:rPr>
            </w:pPr>
            <w:r w:rsidRPr="0037045C">
              <w:rPr>
                <w:rFonts w:ascii="Arial" w:hAnsi="Arial" w:cs="Arial"/>
                <w:b/>
                <w:sz w:val="17"/>
                <w:szCs w:val="17"/>
              </w:rPr>
              <w:t xml:space="preserve"> 2,721,727,733 </w:t>
            </w:r>
          </w:p>
        </w:tc>
      </w:tr>
    </w:tbl>
    <w:p w:rsidR="003822F9" w:rsidRDefault="0037045C" w:rsidP="003822F9">
      <w:pPr>
        <w:spacing w:before="80" w:line="240" w:lineRule="exact"/>
        <w:ind w:left="709"/>
        <w:jc w:val="both"/>
        <w:rPr>
          <w:rFonts w:ascii="Arial" w:eastAsia="Calibri" w:hAnsi="Arial" w:cs="Arial"/>
          <w:spacing w:val="-1"/>
          <w:sz w:val="17"/>
          <w:szCs w:val="17"/>
        </w:rPr>
      </w:pPr>
      <w:r w:rsidRPr="0037045C">
        <w:rPr>
          <w:rFonts w:ascii="Arial" w:eastAsia="Calibri" w:hAnsi="Arial" w:cs="Arial"/>
          <w:spacing w:val="-1"/>
          <w:sz w:val="17"/>
          <w:szCs w:val="17"/>
        </w:rPr>
        <w:t>El rubro de Bienes Muebles, presenta un decremento del 3% derivado principalmente por bajas de bienes correspondientes a Vehículos y Equipo de Transporte, seguido de Mobiliario y Equipo de Administración y Equipo de Defensa y Seguridad.</w:t>
      </w:r>
    </w:p>
    <w:p w:rsidR="00DD7A5F" w:rsidRDefault="00DD7A5F" w:rsidP="003822F9">
      <w:pPr>
        <w:spacing w:before="80" w:line="240" w:lineRule="exact"/>
        <w:ind w:left="709"/>
        <w:jc w:val="both"/>
        <w:rPr>
          <w:rFonts w:ascii="Arial" w:eastAsia="Calibri" w:hAnsi="Arial" w:cs="Arial"/>
          <w:spacing w:val="-1"/>
          <w:sz w:val="17"/>
          <w:szCs w:val="17"/>
        </w:rPr>
      </w:pPr>
    </w:p>
    <w:p w:rsidR="0033043F" w:rsidRPr="00DD7A5F" w:rsidRDefault="00F71E5C" w:rsidP="00DD7A5F">
      <w:pPr>
        <w:spacing w:before="80" w:line="240" w:lineRule="exact"/>
        <w:ind w:left="708"/>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por cuenta, los rubros de bienes muebles,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4B4212" w:rsidRPr="00BA272D" w:rsidRDefault="00AE5421" w:rsidP="00AE5421">
      <w:pPr>
        <w:spacing w:before="80" w:line="250" w:lineRule="exact"/>
        <w:ind w:left="426" w:hanging="426"/>
        <w:jc w:val="center"/>
        <w:rPr>
          <w:rFonts w:ascii="Arial" w:eastAsia="Calibri" w:hAnsi="Arial" w:cs="Arial"/>
          <w:spacing w:val="-1"/>
          <w:sz w:val="17"/>
          <w:szCs w:val="17"/>
        </w:rPr>
      </w:pPr>
      <w:r w:rsidRPr="00BA272D">
        <w:rPr>
          <w:rFonts w:ascii="Arial" w:eastAsia="Calibri" w:hAnsi="Arial" w:cs="Arial"/>
          <w:b/>
          <w:spacing w:val="-1"/>
          <w:sz w:val="17"/>
          <w:szCs w:val="17"/>
        </w:rPr>
        <w:t xml:space="preserve"> </w:t>
      </w:r>
      <w:r w:rsidR="004B4212" w:rsidRPr="00BA272D">
        <w:rPr>
          <w:rFonts w:ascii="Arial" w:eastAsia="Calibri" w:hAnsi="Arial" w:cs="Arial"/>
          <w:b/>
          <w:spacing w:val="-1"/>
          <w:sz w:val="17"/>
          <w:szCs w:val="17"/>
        </w:rPr>
        <w:t>(Pesos)</w:t>
      </w:r>
    </w:p>
    <w:p w:rsidR="004B4212" w:rsidRDefault="004B4212" w:rsidP="005479EE">
      <w:pPr>
        <w:spacing w:before="80" w:line="250" w:lineRule="exact"/>
        <w:ind w:left="709" w:right="-1559"/>
        <w:jc w:val="both"/>
        <w:rPr>
          <w:rFonts w:ascii="Arial" w:eastAsia="Calibri" w:hAnsi="Arial" w:cs="Arial"/>
          <w:spacing w:val="-1"/>
          <w:sz w:val="17"/>
          <w:szCs w:val="17"/>
        </w:rPr>
      </w:pPr>
    </w:p>
    <w:tbl>
      <w:tblPr>
        <w:tblpPr w:leftFromText="141" w:rightFromText="141" w:vertAnchor="text" w:horzAnchor="page" w:tblpX="2182" w:tblpY="-160"/>
        <w:tblW w:w="11619" w:type="dxa"/>
        <w:tblCellMar>
          <w:left w:w="70" w:type="dxa"/>
          <w:right w:w="70" w:type="dxa"/>
        </w:tblCellMar>
        <w:tblLook w:val="04A0" w:firstRow="1" w:lastRow="0" w:firstColumn="1" w:lastColumn="0" w:noHBand="0" w:noVBand="1"/>
      </w:tblPr>
      <w:tblGrid>
        <w:gridCol w:w="2529"/>
        <w:gridCol w:w="1586"/>
        <w:gridCol w:w="1596"/>
        <w:gridCol w:w="1383"/>
        <w:gridCol w:w="968"/>
        <w:gridCol w:w="1166"/>
        <w:gridCol w:w="998"/>
        <w:gridCol w:w="1393"/>
      </w:tblGrid>
      <w:tr w:rsidR="00AE5421" w:rsidRPr="00BA272D" w:rsidTr="00AE5421">
        <w:trPr>
          <w:trHeight w:val="302"/>
        </w:trPr>
        <w:tc>
          <w:tcPr>
            <w:tcW w:w="252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AE5421" w:rsidRPr="00BA272D" w:rsidRDefault="00AE5421" w:rsidP="00AE5421">
            <w:pPr>
              <w:ind w:left="492" w:hanging="425"/>
              <w:jc w:val="center"/>
              <w:rPr>
                <w:rFonts w:ascii="Arial" w:hAnsi="Arial" w:cs="Arial"/>
                <w:b/>
                <w:bCs/>
                <w:color w:val="000000"/>
                <w:sz w:val="17"/>
                <w:szCs w:val="17"/>
              </w:rPr>
            </w:pPr>
            <w:r w:rsidRPr="00BA272D">
              <w:rPr>
                <w:rFonts w:ascii="Arial" w:hAnsi="Arial" w:cs="Arial"/>
                <w:b/>
                <w:bCs/>
                <w:color w:val="000000"/>
                <w:sz w:val="17"/>
                <w:szCs w:val="17"/>
              </w:rPr>
              <w:t>Cuenta de bienes muebles</w:t>
            </w:r>
          </w:p>
        </w:tc>
        <w:tc>
          <w:tcPr>
            <w:tcW w:w="0" w:type="auto"/>
            <w:vMerge w:val="restart"/>
            <w:tcBorders>
              <w:top w:val="single" w:sz="4" w:space="0" w:color="auto"/>
              <w:left w:val="nil"/>
              <w:right w:val="single" w:sz="4" w:space="0" w:color="auto"/>
            </w:tcBorders>
            <w:shd w:val="clear" w:color="auto" w:fill="BFBFBF" w:themeFill="background1" w:themeFillShade="BF"/>
            <w:vAlign w:val="center"/>
            <w:hideMark/>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Monto de depreciación del ejercicio</w:t>
            </w:r>
          </w:p>
        </w:tc>
        <w:tc>
          <w:tcPr>
            <w:tcW w:w="0" w:type="auto"/>
            <w:vMerge w:val="restart"/>
            <w:tcBorders>
              <w:top w:val="single" w:sz="4" w:space="0" w:color="auto"/>
              <w:left w:val="nil"/>
              <w:right w:val="single" w:sz="4" w:space="0" w:color="auto"/>
            </w:tcBorders>
            <w:shd w:val="clear" w:color="auto" w:fill="BFBFBF" w:themeFill="background1" w:themeFillShade="BF"/>
            <w:vAlign w:val="center"/>
            <w:hideMark/>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Monto de depreciación acumulada</w:t>
            </w:r>
          </w:p>
        </w:tc>
        <w:tc>
          <w:tcPr>
            <w:tcW w:w="0" w:type="auto"/>
            <w:vMerge w:val="restart"/>
            <w:tcBorders>
              <w:top w:val="single" w:sz="4" w:space="0" w:color="auto"/>
              <w:left w:val="nil"/>
              <w:right w:val="single" w:sz="4" w:space="0" w:color="auto"/>
            </w:tcBorders>
            <w:shd w:val="clear" w:color="auto" w:fill="BFBFBF" w:themeFill="background1" w:themeFillShade="BF"/>
            <w:vAlign w:val="center"/>
            <w:hideMark/>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Método de depreciación</w:t>
            </w:r>
          </w:p>
        </w:tc>
        <w:tc>
          <w:tcPr>
            <w:tcW w:w="0" w:type="auto"/>
            <w:vMerge w:val="restart"/>
            <w:tcBorders>
              <w:top w:val="single" w:sz="4" w:space="0" w:color="auto"/>
              <w:left w:val="nil"/>
              <w:right w:val="single" w:sz="4" w:space="0" w:color="auto"/>
            </w:tcBorders>
            <w:shd w:val="clear" w:color="auto" w:fill="BFBFBF" w:themeFill="background1" w:themeFillShade="BF"/>
            <w:vAlign w:val="center"/>
            <w:hideMark/>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Tasa aplicada</w:t>
            </w:r>
          </w:p>
        </w:tc>
        <w:tc>
          <w:tcPr>
            <w:tcW w:w="0" w:type="auto"/>
            <w:vMerge w:val="restart"/>
            <w:tcBorders>
              <w:top w:val="single" w:sz="4" w:space="0" w:color="auto"/>
              <w:left w:val="nil"/>
              <w:right w:val="single" w:sz="4" w:space="0" w:color="auto"/>
            </w:tcBorders>
            <w:shd w:val="clear" w:color="auto" w:fill="BFBFBF" w:themeFill="background1" w:themeFillShade="BF"/>
            <w:vAlign w:val="center"/>
            <w:hideMark/>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Criterio de aplicación</w:t>
            </w:r>
          </w:p>
        </w:tc>
        <w:tc>
          <w:tcPr>
            <w:tcW w:w="0" w:type="auto"/>
            <w:gridSpan w:val="2"/>
            <w:tcBorders>
              <w:top w:val="single" w:sz="4" w:space="0" w:color="auto"/>
              <w:left w:val="nil"/>
              <w:bottom w:val="single" w:sz="4" w:space="0" w:color="auto"/>
              <w:right w:val="single" w:sz="4" w:space="0" w:color="auto"/>
            </w:tcBorders>
            <w:shd w:val="clear" w:color="auto" w:fill="BFBFBF" w:themeFill="background1" w:themeFillShade="BF"/>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Características significativas del estado en que encuentren</w:t>
            </w:r>
          </w:p>
        </w:tc>
      </w:tr>
      <w:tr w:rsidR="00AE5421" w:rsidRPr="00BA272D" w:rsidTr="00AE5421">
        <w:trPr>
          <w:trHeight w:val="454"/>
        </w:trPr>
        <w:tc>
          <w:tcPr>
            <w:tcW w:w="252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E5421" w:rsidRPr="00BA272D" w:rsidRDefault="00AE5421" w:rsidP="00AE5421">
            <w:pPr>
              <w:jc w:val="center"/>
              <w:rPr>
                <w:rFonts w:ascii="Arial" w:hAnsi="Arial" w:cs="Arial"/>
                <w:b/>
                <w:bCs/>
                <w:color w:val="000000"/>
                <w:sz w:val="17"/>
                <w:szCs w:val="17"/>
              </w:rPr>
            </w:pPr>
          </w:p>
        </w:tc>
        <w:tc>
          <w:tcPr>
            <w:tcW w:w="0" w:type="auto"/>
            <w:vMerge/>
            <w:tcBorders>
              <w:left w:val="nil"/>
              <w:bottom w:val="single" w:sz="4" w:space="0" w:color="auto"/>
              <w:right w:val="single" w:sz="4" w:space="0" w:color="auto"/>
            </w:tcBorders>
            <w:shd w:val="clear" w:color="auto" w:fill="BFBFBF" w:themeFill="background1" w:themeFillShade="BF"/>
            <w:vAlign w:val="center"/>
          </w:tcPr>
          <w:p w:rsidR="00AE5421" w:rsidRPr="00BA272D" w:rsidRDefault="00AE5421" w:rsidP="00AE5421">
            <w:pPr>
              <w:jc w:val="center"/>
              <w:rPr>
                <w:rFonts w:ascii="Arial" w:hAnsi="Arial" w:cs="Arial"/>
                <w:b/>
                <w:bCs/>
                <w:color w:val="000000"/>
                <w:sz w:val="17"/>
                <w:szCs w:val="17"/>
              </w:rPr>
            </w:pPr>
          </w:p>
        </w:tc>
        <w:tc>
          <w:tcPr>
            <w:tcW w:w="0" w:type="auto"/>
            <w:vMerge/>
            <w:tcBorders>
              <w:left w:val="nil"/>
              <w:bottom w:val="single" w:sz="4" w:space="0" w:color="auto"/>
              <w:right w:val="single" w:sz="4" w:space="0" w:color="auto"/>
            </w:tcBorders>
            <w:shd w:val="clear" w:color="auto" w:fill="BFBFBF" w:themeFill="background1" w:themeFillShade="BF"/>
            <w:vAlign w:val="center"/>
          </w:tcPr>
          <w:p w:rsidR="00AE5421" w:rsidRPr="00BA272D" w:rsidRDefault="00AE5421" w:rsidP="00AE5421">
            <w:pPr>
              <w:jc w:val="center"/>
              <w:rPr>
                <w:rFonts w:ascii="Arial" w:hAnsi="Arial" w:cs="Arial"/>
                <w:b/>
                <w:bCs/>
                <w:color w:val="000000"/>
                <w:sz w:val="17"/>
                <w:szCs w:val="17"/>
              </w:rPr>
            </w:pPr>
          </w:p>
        </w:tc>
        <w:tc>
          <w:tcPr>
            <w:tcW w:w="0" w:type="auto"/>
            <w:vMerge/>
            <w:tcBorders>
              <w:left w:val="nil"/>
              <w:bottom w:val="single" w:sz="4" w:space="0" w:color="auto"/>
              <w:right w:val="single" w:sz="4" w:space="0" w:color="auto"/>
            </w:tcBorders>
            <w:shd w:val="clear" w:color="auto" w:fill="BFBFBF" w:themeFill="background1" w:themeFillShade="BF"/>
            <w:vAlign w:val="center"/>
          </w:tcPr>
          <w:p w:rsidR="00AE5421" w:rsidRPr="00BA272D" w:rsidRDefault="00AE5421" w:rsidP="00AE5421">
            <w:pPr>
              <w:jc w:val="center"/>
              <w:rPr>
                <w:rFonts w:ascii="Arial" w:hAnsi="Arial" w:cs="Arial"/>
                <w:b/>
                <w:bCs/>
                <w:color w:val="000000"/>
                <w:sz w:val="17"/>
                <w:szCs w:val="17"/>
              </w:rPr>
            </w:pPr>
          </w:p>
        </w:tc>
        <w:tc>
          <w:tcPr>
            <w:tcW w:w="0" w:type="auto"/>
            <w:vMerge/>
            <w:tcBorders>
              <w:left w:val="nil"/>
              <w:bottom w:val="single" w:sz="4" w:space="0" w:color="auto"/>
              <w:right w:val="single" w:sz="4" w:space="0" w:color="auto"/>
            </w:tcBorders>
            <w:shd w:val="clear" w:color="auto" w:fill="BFBFBF" w:themeFill="background1" w:themeFillShade="BF"/>
            <w:vAlign w:val="center"/>
          </w:tcPr>
          <w:p w:rsidR="00AE5421" w:rsidRPr="00BA272D" w:rsidRDefault="00AE5421" w:rsidP="00AE5421">
            <w:pPr>
              <w:jc w:val="center"/>
              <w:rPr>
                <w:rFonts w:ascii="Arial" w:hAnsi="Arial" w:cs="Arial"/>
                <w:b/>
                <w:bCs/>
                <w:color w:val="000000"/>
                <w:sz w:val="17"/>
                <w:szCs w:val="17"/>
              </w:rPr>
            </w:pPr>
          </w:p>
        </w:tc>
        <w:tc>
          <w:tcPr>
            <w:tcW w:w="0" w:type="auto"/>
            <w:vMerge/>
            <w:tcBorders>
              <w:left w:val="nil"/>
              <w:bottom w:val="single" w:sz="4" w:space="0" w:color="auto"/>
              <w:right w:val="single" w:sz="4" w:space="0" w:color="auto"/>
            </w:tcBorders>
            <w:shd w:val="clear" w:color="auto" w:fill="BFBFBF" w:themeFill="background1" w:themeFillShade="BF"/>
            <w:vAlign w:val="center"/>
          </w:tcPr>
          <w:p w:rsidR="00AE5421" w:rsidRPr="00BA272D" w:rsidRDefault="00AE5421" w:rsidP="00AE5421">
            <w:pPr>
              <w:jc w:val="center"/>
              <w:rPr>
                <w:rFonts w:ascii="Arial" w:hAnsi="Arial" w:cs="Arial"/>
                <w:b/>
                <w:bCs/>
                <w:color w:val="000000"/>
                <w:sz w:val="17"/>
                <w:szCs w:val="17"/>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Aptos para su uso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AE5421" w:rsidRPr="00BA272D" w:rsidRDefault="00AE5421" w:rsidP="00AE5421">
            <w:pPr>
              <w:jc w:val="center"/>
              <w:rPr>
                <w:rFonts w:ascii="Arial" w:hAnsi="Arial" w:cs="Arial"/>
                <w:b/>
                <w:bCs/>
                <w:color w:val="000000"/>
                <w:sz w:val="17"/>
                <w:szCs w:val="17"/>
              </w:rPr>
            </w:pPr>
            <w:r w:rsidRPr="00BA272D">
              <w:rPr>
                <w:rFonts w:ascii="Arial" w:hAnsi="Arial" w:cs="Arial"/>
                <w:b/>
                <w:bCs/>
                <w:color w:val="000000"/>
                <w:sz w:val="17"/>
                <w:szCs w:val="17"/>
              </w:rPr>
              <w:t>No Aptos o Inservibles</w:t>
            </w:r>
          </w:p>
        </w:tc>
      </w:tr>
      <w:tr w:rsidR="00AE5421" w:rsidRPr="008340B1" w:rsidTr="00AE5421">
        <w:trPr>
          <w:trHeight w:val="242"/>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Mobiliario y equipo de administración</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71,667,432 </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360,358,665 </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Lineal</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10 y 33.3 % anual</w:t>
            </w:r>
          </w:p>
        </w:tc>
        <w:tc>
          <w:tcPr>
            <w:tcW w:w="0" w:type="auto"/>
            <w:tcBorders>
              <w:top w:val="nil"/>
              <w:left w:val="nil"/>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Emitido por CONAC</w:t>
            </w:r>
          </w:p>
        </w:tc>
        <w:tc>
          <w:tcPr>
            <w:tcW w:w="0" w:type="auto"/>
            <w:tcBorders>
              <w:top w:val="single" w:sz="4" w:space="0" w:color="auto"/>
              <w:left w:val="nil"/>
              <w:bottom w:val="single" w:sz="4" w:space="0" w:color="auto"/>
              <w:right w:val="single" w:sz="4" w:space="0" w:color="auto"/>
            </w:tcBorders>
            <w:shd w:val="clear" w:color="auto" w:fill="auto"/>
          </w:tcPr>
          <w:p w:rsidR="00AE5421" w:rsidRPr="00F71907" w:rsidRDefault="00AE5421" w:rsidP="00AE5421">
            <w:pPr>
              <w:jc w:val="center"/>
              <w:rPr>
                <w:rFonts w:ascii="Arial" w:hAnsi="Arial" w:cs="Arial"/>
                <w:sz w:val="17"/>
                <w:szCs w:val="17"/>
              </w:rPr>
            </w:pPr>
            <w:r w:rsidRPr="00F71907">
              <w:rPr>
                <w:rFonts w:ascii="Arial" w:hAnsi="Arial" w:cs="Arial"/>
                <w:sz w:val="17"/>
                <w:szCs w:val="17"/>
              </w:rPr>
              <w:t>65,783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5421" w:rsidRPr="00F71907" w:rsidRDefault="00AE5421" w:rsidP="00AE5421">
            <w:pPr>
              <w:jc w:val="center"/>
              <w:rPr>
                <w:rFonts w:ascii="Arial" w:hAnsi="Arial" w:cs="Arial"/>
                <w:sz w:val="17"/>
                <w:szCs w:val="17"/>
              </w:rPr>
            </w:pPr>
            <w:r w:rsidRPr="00F71907">
              <w:rPr>
                <w:rFonts w:ascii="Arial" w:hAnsi="Arial" w:cs="Arial"/>
                <w:sz w:val="17"/>
                <w:szCs w:val="17"/>
              </w:rPr>
              <w:t>3,784</w:t>
            </w:r>
          </w:p>
        </w:tc>
      </w:tr>
      <w:tr w:rsidR="00AE5421" w:rsidRPr="008340B1" w:rsidTr="00AE5421">
        <w:trPr>
          <w:trHeight w:val="242"/>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Mobiliario y equipo educacional y recreativo</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6,353,145 </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45,720,526 </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Lineal</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20 y 33.3 % anual</w:t>
            </w:r>
          </w:p>
        </w:tc>
        <w:tc>
          <w:tcPr>
            <w:tcW w:w="0" w:type="auto"/>
            <w:tcBorders>
              <w:top w:val="nil"/>
              <w:left w:val="nil"/>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 Emitido por CONAC</w:t>
            </w:r>
          </w:p>
        </w:tc>
        <w:tc>
          <w:tcPr>
            <w:tcW w:w="0" w:type="auto"/>
            <w:tcBorders>
              <w:top w:val="single" w:sz="4" w:space="0" w:color="auto"/>
              <w:left w:val="nil"/>
              <w:bottom w:val="single" w:sz="4" w:space="0" w:color="auto"/>
              <w:right w:val="single" w:sz="4" w:space="0" w:color="auto"/>
            </w:tcBorders>
            <w:shd w:val="clear" w:color="auto" w:fill="auto"/>
          </w:tcPr>
          <w:p w:rsidR="00AE5421" w:rsidRPr="00F71907" w:rsidRDefault="00AE5421" w:rsidP="00AE5421">
            <w:pPr>
              <w:jc w:val="center"/>
              <w:rPr>
                <w:rFonts w:ascii="Arial" w:hAnsi="Arial" w:cs="Arial"/>
                <w:sz w:val="17"/>
                <w:szCs w:val="17"/>
              </w:rPr>
            </w:pPr>
            <w:r w:rsidRPr="00F71907">
              <w:rPr>
                <w:rFonts w:ascii="Arial" w:hAnsi="Arial" w:cs="Arial"/>
                <w:sz w:val="17"/>
                <w:szCs w:val="17"/>
              </w:rPr>
              <w:t>4,920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5421" w:rsidRPr="00F71907" w:rsidRDefault="00AE5421" w:rsidP="00AE5421">
            <w:pPr>
              <w:jc w:val="center"/>
              <w:rPr>
                <w:rFonts w:ascii="Arial" w:hAnsi="Arial" w:cs="Arial"/>
                <w:sz w:val="17"/>
                <w:szCs w:val="17"/>
              </w:rPr>
            </w:pPr>
            <w:r w:rsidRPr="00F71907">
              <w:rPr>
                <w:rFonts w:ascii="Arial" w:hAnsi="Arial" w:cs="Arial"/>
                <w:sz w:val="17"/>
                <w:szCs w:val="17"/>
              </w:rPr>
              <w:t>221</w:t>
            </w:r>
          </w:p>
        </w:tc>
      </w:tr>
      <w:tr w:rsidR="00AE5421" w:rsidRPr="008340B1" w:rsidTr="00AE5421">
        <w:trPr>
          <w:trHeight w:val="242"/>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Equipo e instrumental médico y de laboratorio</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3,443,938 </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14,000,928 </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Lineal</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20% anual</w:t>
            </w:r>
          </w:p>
        </w:tc>
        <w:tc>
          <w:tcPr>
            <w:tcW w:w="0" w:type="auto"/>
            <w:tcBorders>
              <w:top w:val="nil"/>
              <w:left w:val="nil"/>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 Emitido por CONAC</w:t>
            </w:r>
          </w:p>
        </w:tc>
        <w:tc>
          <w:tcPr>
            <w:tcW w:w="0" w:type="auto"/>
            <w:tcBorders>
              <w:top w:val="single" w:sz="4" w:space="0" w:color="auto"/>
              <w:left w:val="nil"/>
              <w:bottom w:val="single" w:sz="4" w:space="0" w:color="auto"/>
              <w:right w:val="single" w:sz="4" w:space="0" w:color="auto"/>
            </w:tcBorders>
            <w:shd w:val="clear" w:color="auto" w:fill="auto"/>
          </w:tcPr>
          <w:p w:rsidR="00AE5421" w:rsidRPr="00F71907" w:rsidRDefault="00AE5421" w:rsidP="00AE5421">
            <w:pPr>
              <w:jc w:val="center"/>
              <w:rPr>
                <w:rFonts w:ascii="Arial" w:hAnsi="Arial" w:cs="Arial"/>
                <w:sz w:val="17"/>
                <w:szCs w:val="17"/>
              </w:rPr>
            </w:pPr>
            <w:r w:rsidRPr="00F71907">
              <w:rPr>
                <w:rFonts w:ascii="Arial" w:hAnsi="Arial" w:cs="Arial"/>
                <w:sz w:val="17"/>
                <w:szCs w:val="17"/>
              </w:rPr>
              <w:t>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5421" w:rsidRPr="00F71907" w:rsidRDefault="00AE5421" w:rsidP="00AE5421">
            <w:pPr>
              <w:jc w:val="center"/>
              <w:rPr>
                <w:rFonts w:ascii="Arial" w:hAnsi="Arial" w:cs="Arial"/>
                <w:sz w:val="17"/>
                <w:szCs w:val="17"/>
              </w:rPr>
            </w:pPr>
            <w:r w:rsidRPr="00F71907">
              <w:rPr>
                <w:rFonts w:ascii="Arial" w:hAnsi="Arial" w:cs="Arial"/>
                <w:sz w:val="17"/>
                <w:szCs w:val="17"/>
              </w:rPr>
              <w:t>76</w:t>
            </w:r>
          </w:p>
        </w:tc>
      </w:tr>
      <w:tr w:rsidR="00AE5421" w:rsidRPr="008340B1" w:rsidTr="00AE5421">
        <w:trPr>
          <w:trHeight w:val="242"/>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Equipo de transporte</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59,881,675 </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591,003,042 </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Lineal</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20% anual</w:t>
            </w:r>
          </w:p>
        </w:tc>
        <w:tc>
          <w:tcPr>
            <w:tcW w:w="0" w:type="auto"/>
            <w:tcBorders>
              <w:top w:val="nil"/>
              <w:left w:val="nil"/>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 Emitido por CONAC</w:t>
            </w:r>
          </w:p>
        </w:tc>
        <w:tc>
          <w:tcPr>
            <w:tcW w:w="0" w:type="auto"/>
            <w:tcBorders>
              <w:top w:val="single" w:sz="4" w:space="0" w:color="auto"/>
              <w:left w:val="nil"/>
              <w:bottom w:val="single" w:sz="4" w:space="0" w:color="auto"/>
              <w:right w:val="single" w:sz="4" w:space="0" w:color="auto"/>
            </w:tcBorders>
            <w:shd w:val="clear" w:color="auto" w:fill="auto"/>
          </w:tcPr>
          <w:p w:rsidR="00AE5421" w:rsidRPr="00F71907" w:rsidRDefault="00AE5421" w:rsidP="00AE5421">
            <w:pPr>
              <w:jc w:val="center"/>
              <w:rPr>
                <w:rFonts w:ascii="Arial" w:hAnsi="Arial" w:cs="Arial"/>
                <w:sz w:val="17"/>
                <w:szCs w:val="17"/>
              </w:rPr>
            </w:pPr>
            <w:r w:rsidRPr="00F71907">
              <w:rPr>
                <w:rFonts w:ascii="Arial" w:hAnsi="Arial" w:cs="Arial"/>
                <w:sz w:val="17"/>
                <w:szCs w:val="17"/>
              </w:rPr>
              <w:t>5,676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5421" w:rsidRPr="00F71907" w:rsidRDefault="00AE5421" w:rsidP="00AE5421">
            <w:pPr>
              <w:jc w:val="center"/>
              <w:rPr>
                <w:rFonts w:ascii="Arial" w:hAnsi="Arial" w:cs="Arial"/>
                <w:sz w:val="17"/>
                <w:szCs w:val="17"/>
              </w:rPr>
            </w:pPr>
            <w:r w:rsidRPr="00F71907">
              <w:rPr>
                <w:rFonts w:ascii="Arial" w:hAnsi="Arial" w:cs="Arial"/>
                <w:sz w:val="17"/>
                <w:szCs w:val="17"/>
              </w:rPr>
              <w:t>314</w:t>
            </w:r>
          </w:p>
        </w:tc>
      </w:tr>
      <w:tr w:rsidR="00AE5421" w:rsidRPr="008340B1" w:rsidTr="00AE5421">
        <w:trPr>
          <w:trHeight w:val="242"/>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Equipo de defensa y seguridad</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8,320,738 </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43,754,498 </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Lineal</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20% anual</w:t>
            </w:r>
          </w:p>
        </w:tc>
        <w:tc>
          <w:tcPr>
            <w:tcW w:w="0" w:type="auto"/>
            <w:tcBorders>
              <w:top w:val="nil"/>
              <w:left w:val="nil"/>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 Emitido por CONAC</w:t>
            </w:r>
          </w:p>
        </w:tc>
        <w:tc>
          <w:tcPr>
            <w:tcW w:w="0" w:type="auto"/>
            <w:tcBorders>
              <w:top w:val="single" w:sz="4" w:space="0" w:color="auto"/>
              <w:left w:val="nil"/>
              <w:bottom w:val="single" w:sz="4" w:space="0" w:color="auto"/>
              <w:right w:val="single" w:sz="4" w:space="0" w:color="auto"/>
            </w:tcBorders>
            <w:shd w:val="clear" w:color="auto" w:fill="auto"/>
          </w:tcPr>
          <w:p w:rsidR="00AE5421" w:rsidRPr="00F71907" w:rsidRDefault="00AE5421" w:rsidP="00AE5421">
            <w:pPr>
              <w:jc w:val="center"/>
              <w:rPr>
                <w:rFonts w:ascii="Arial" w:hAnsi="Arial" w:cs="Arial"/>
                <w:sz w:val="17"/>
                <w:szCs w:val="17"/>
              </w:rPr>
            </w:pPr>
            <w:r w:rsidRPr="00F71907">
              <w:rPr>
                <w:rFonts w:ascii="Arial" w:hAnsi="Arial" w:cs="Arial"/>
                <w:sz w:val="17"/>
                <w:szCs w:val="17"/>
              </w:rPr>
              <w:t>5,420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5421" w:rsidRPr="00F71907" w:rsidRDefault="00AE5421" w:rsidP="00AE5421">
            <w:pPr>
              <w:jc w:val="center"/>
              <w:rPr>
                <w:rFonts w:ascii="Arial" w:hAnsi="Arial" w:cs="Arial"/>
                <w:sz w:val="17"/>
                <w:szCs w:val="17"/>
              </w:rPr>
            </w:pPr>
            <w:r w:rsidRPr="00F71907">
              <w:rPr>
                <w:rFonts w:ascii="Arial" w:hAnsi="Arial" w:cs="Arial"/>
                <w:sz w:val="17"/>
                <w:szCs w:val="17"/>
              </w:rPr>
              <w:t>181</w:t>
            </w:r>
          </w:p>
        </w:tc>
      </w:tr>
      <w:tr w:rsidR="00AE5421" w:rsidRPr="008340B1" w:rsidTr="00AE5421">
        <w:trPr>
          <w:trHeight w:val="242"/>
        </w:trPr>
        <w:tc>
          <w:tcPr>
            <w:tcW w:w="2529" w:type="dxa"/>
            <w:tcBorders>
              <w:top w:val="nil"/>
              <w:left w:val="single" w:sz="4" w:space="0" w:color="auto"/>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Maquinaria, otros equipos y herramientas</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31,390,082 </w:t>
            </w:r>
          </w:p>
        </w:tc>
        <w:tc>
          <w:tcPr>
            <w:tcW w:w="0" w:type="auto"/>
            <w:tcBorders>
              <w:top w:val="nil"/>
              <w:left w:val="nil"/>
              <w:bottom w:val="single" w:sz="4" w:space="0" w:color="auto"/>
              <w:right w:val="single" w:sz="4" w:space="0" w:color="auto"/>
            </w:tcBorders>
            <w:shd w:val="clear" w:color="auto" w:fill="auto"/>
          </w:tcPr>
          <w:p w:rsidR="00AE5421" w:rsidRPr="008340B1" w:rsidRDefault="00AE5421" w:rsidP="00AE5421">
            <w:pPr>
              <w:jc w:val="right"/>
              <w:rPr>
                <w:rFonts w:ascii="Arial" w:hAnsi="Arial" w:cs="Arial"/>
                <w:sz w:val="17"/>
                <w:szCs w:val="17"/>
              </w:rPr>
            </w:pPr>
            <w:r w:rsidRPr="008340B1">
              <w:rPr>
                <w:rFonts w:ascii="Arial" w:hAnsi="Arial" w:cs="Arial"/>
                <w:sz w:val="17"/>
                <w:szCs w:val="17"/>
              </w:rPr>
              <w:t xml:space="preserve"> 144,096,848 </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Lineal</w:t>
            </w:r>
          </w:p>
        </w:tc>
        <w:tc>
          <w:tcPr>
            <w:tcW w:w="0" w:type="auto"/>
            <w:tcBorders>
              <w:top w:val="nil"/>
              <w:left w:val="nil"/>
              <w:bottom w:val="single" w:sz="4" w:space="0" w:color="auto"/>
              <w:right w:val="single" w:sz="4" w:space="0" w:color="auto"/>
            </w:tcBorders>
            <w:shd w:val="clear" w:color="auto" w:fill="auto"/>
            <w:hideMark/>
          </w:tcPr>
          <w:p w:rsidR="00AE5421" w:rsidRPr="008340B1" w:rsidRDefault="00AE5421" w:rsidP="00AE5421">
            <w:pPr>
              <w:rPr>
                <w:rFonts w:ascii="Arial" w:hAnsi="Arial" w:cs="Arial"/>
                <w:sz w:val="17"/>
                <w:szCs w:val="17"/>
              </w:rPr>
            </w:pPr>
            <w:r w:rsidRPr="008340B1">
              <w:rPr>
                <w:rFonts w:ascii="Arial" w:hAnsi="Arial" w:cs="Arial"/>
                <w:sz w:val="17"/>
                <w:szCs w:val="17"/>
              </w:rPr>
              <w:t>10% anual</w:t>
            </w:r>
          </w:p>
        </w:tc>
        <w:tc>
          <w:tcPr>
            <w:tcW w:w="0" w:type="auto"/>
            <w:tcBorders>
              <w:top w:val="nil"/>
              <w:left w:val="nil"/>
              <w:bottom w:val="single" w:sz="4" w:space="0" w:color="auto"/>
              <w:right w:val="single" w:sz="4" w:space="0" w:color="auto"/>
            </w:tcBorders>
            <w:shd w:val="clear" w:color="auto" w:fill="auto"/>
            <w:vAlign w:val="center"/>
            <w:hideMark/>
          </w:tcPr>
          <w:p w:rsidR="00AE5421" w:rsidRPr="008340B1" w:rsidRDefault="00AE5421" w:rsidP="00AE5421">
            <w:pPr>
              <w:rPr>
                <w:rFonts w:ascii="Arial" w:hAnsi="Arial" w:cs="Arial"/>
                <w:color w:val="000000"/>
                <w:sz w:val="17"/>
                <w:szCs w:val="17"/>
              </w:rPr>
            </w:pPr>
            <w:r w:rsidRPr="008340B1">
              <w:rPr>
                <w:rFonts w:ascii="Arial" w:hAnsi="Arial" w:cs="Arial"/>
                <w:color w:val="000000"/>
                <w:sz w:val="17"/>
                <w:szCs w:val="17"/>
              </w:rPr>
              <w:t> Emitido por CONAC</w:t>
            </w:r>
          </w:p>
        </w:tc>
        <w:tc>
          <w:tcPr>
            <w:tcW w:w="0" w:type="auto"/>
            <w:tcBorders>
              <w:top w:val="single" w:sz="4" w:space="0" w:color="auto"/>
              <w:left w:val="nil"/>
              <w:bottom w:val="single" w:sz="4" w:space="0" w:color="auto"/>
              <w:right w:val="single" w:sz="4" w:space="0" w:color="auto"/>
            </w:tcBorders>
            <w:shd w:val="clear" w:color="auto" w:fill="auto"/>
          </w:tcPr>
          <w:p w:rsidR="00AE5421" w:rsidRPr="00F71907" w:rsidRDefault="00AE5421" w:rsidP="00AE5421">
            <w:pPr>
              <w:jc w:val="center"/>
              <w:rPr>
                <w:rFonts w:ascii="Arial" w:hAnsi="Arial" w:cs="Arial"/>
                <w:sz w:val="17"/>
                <w:szCs w:val="17"/>
              </w:rPr>
            </w:pPr>
            <w:r w:rsidRPr="00F71907">
              <w:rPr>
                <w:rFonts w:ascii="Arial" w:hAnsi="Arial" w:cs="Arial"/>
                <w:sz w:val="17"/>
                <w:szCs w:val="17"/>
              </w:rPr>
              <w:t>12,016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E5421" w:rsidRPr="00F71907" w:rsidRDefault="00AE5421" w:rsidP="00AE5421">
            <w:pPr>
              <w:jc w:val="center"/>
              <w:rPr>
                <w:rFonts w:ascii="Arial" w:hAnsi="Arial" w:cs="Arial"/>
                <w:sz w:val="17"/>
                <w:szCs w:val="17"/>
              </w:rPr>
            </w:pPr>
            <w:r w:rsidRPr="00F71907">
              <w:rPr>
                <w:rFonts w:ascii="Arial" w:hAnsi="Arial" w:cs="Arial"/>
                <w:sz w:val="17"/>
                <w:szCs w:val="17"/>
              </w:rPr>
              <w:t>981</w:t>
            </w:r>
          </w:p>
        </w:tc>
      </w:tr>
      <w:tr w:rsidR="00AE5421" w:rsidRPr="008340B1" w:rsidTr="00AE5421">
        <w:trPr>
          <w:trHeight w:val="85"/>
        </w:trPr>
        <w:tc>
          <w:tcPr>
            <w:tcW w:w="2529"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AE5421" w:rsidRPr="008340B1" w:rsidRDefault="00AE5421" w:rsidP="00AE5421">
            <w:pPr>
              <w:jc w:val="center"/>
              <w:rPr>
                <w:rFonts w:ascii="Arial" w:hAnsi="Arial" w:cs="Arial"/>
                <w:b/>
                <w:bCs/>
                <w:color w:val="000000"/>
                <w:sz w:val="17"/>
                <w:szCs w:val="17"/>
              </w:rPr>
            </w:pPr>
            <w:r w:rsidRPr="008340B1">
              <w:rPr>
                <w:rFonts w:ascii="Arial" w:hAnsi="Arial" w:cs="Arial"/>
                <w:b/>
                <w:bCs/>
                <w:color w:val="000000"/>
                <w:sz w:val="17"/>
                <w:szCs w:val="17"/>
              </w:rPr>
              <w:t>Total</w:t>
            </w:r>
          </w:p>
        </w:tc>
        <w:tc>
          <w:tcPr>
            <w:tcW w:w="0" w:type="auto"/>
            <w:tcBorders>
              <w:top w:val="nil"/>
              <w:left w:val="single" w:sz="4" w:space="0" w:color="auto"/>
              <w:bottom w:val="single" w:sz="4" w:space="0" w:color="auto"/>
              <w:right w:val="single" w:sz="4" w:space="0" w:color="auto"/>
            </w:tcBorders>
            <w:shd w:val="clear" w:color="auto" w:fill="BFBFBF" w:themeFill="background1" w:themeFillShade="BF"/>
            <w:hideMark/>
          </w:tcPr>
          <w:p w:rsidR="00AE5421" w:rsidRPr="008340B1" w:rsidRDefault="00AE5421" w:rsidP="002A350C">
            <w:pPr>
              <w:jc w:val="right"/>
              <w:rPr>
                <w:rFonts w:ascii="Arial" w:hAnsi="Arial" w:cs="Arial"/>
                <w:b/>
                <w:sz w:val="17"/>
                <w:szCs w:val="17"/>
              </w:rPr>
            </w:pPr>
            <w:r w:rsidRPr="008340B1">
              <w:rPr>
                <w:rFonts w:ascii="Arial" w:hAnsi="Arial" w:cs="Arial"/>
                <w:b/>
                <w:sz w:val="17"/>
                <w:szCs w:val="17"/>
              </w:rPr>
              <w:t>181,057,010</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hideMark/>
          </w:tcPr>
          <w:p w:rsidR="00AE5421" w:rsidRPr="008340B1" w:rsidRDefault="00AE5421" w:rsidP="002A350C">
            <w:pPr>
              <w:jc w:val="right"/>
              <w:rPr>
                <w:rFonts w:ascii="Arial" w:hAnsi="Arial" w:cs="Arial"/>
                <w:b/>
                <w:sz w:val="17"/>
                <w:szCs w:val="17"/>
              </w:rPr>
            </w:pPr>
            <w:r w:rsidRPr="008340B1">
              <w:rPr>
                <w:rFonts w:ascii="Arial" w:hAnsi="Arial" w:cs="Arial"/>
                <w:b/>
                <w:sz w:val="17"/>
                <w:szCs w:val="17"/>
              </w:rPr>
              <w:t>1,198,934,508</w:t>
            </w:r>
          </w:p>
        </w:tc>
        <w:tc>
          <w:tcPr>
            <w:tcW w:w="0" w:type="auto"/>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AE5421" w:rsidRPr="008340B1" w:rsidRDefault="00AE5421" w:rsidP="00AE5421">
            <w:pPr>
              <w:jc w:val="center"/>
              <w:rPr>
                <w:rFonts w:ascii="Arial" w:hAnsi="Arial" w:cs="Arial"/>
                <w:b/>
                <w:bCs/>
                <w:color w:val="FF0000"/>
                <w:sz w:val="17"/>
                <w:szCs w:val="17"/>
              </w:rPr>
            </w:pP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AE5421" w:rsidRPr="008340B1" w:rsidRDefault="00AE5421" w:rsidP="00AE5421">
            <w:pPr>
              <w:jc w:val="center"/>
              <w:rPr>
                <w:rFonts w:ascii="Arial" w:hAnsi="Arial" w:cs="Arial"/>
                <w:b/>
                <w:bCs/>
                <w:color w:val="FF0000"/>
                <w:sz w:val="17"/>
                <w:szCs w:val="17"/>
              </w:rPr>
            </w:pPr>
          </w:p>
        </w:tc>
        <w:tc>
          <w:tcPr>
            <w:tcW w:w="0" w:type="auto"/>
            <w:tcBorders>
              <w:top w:val="single" w:sz="4" w:space="0" w:color="auto"/>
              <w:left w:val="nil"/>
              <w:bottom w:val="single" w:sz="4" w:space="0" w:color="auto"/>
              <w:right w:val="nil"/>
            </w:tcBorders>
            <w:shd w:val="clear" w:color="auto" w:fill="BFBFBF" w:themeFill="background1" w:themeFillShade="BF"/>
            <w:noWrap/>
            <w:vAlign w:val="bottom"/>
            <w:hideMark/>
          </w:tcPr>
          <w:p w:rsidR="00AE5421" w:rsidRPr="008340B1" w:rsidRDefault="00AE5421" w:rsidP="00AE5421">
            <w:pPr>
              <w:jc w:val="center"/>
              <w:rPr>
                <w:rFonts w:ascii="Arial" w:hAnsi="Arial" w:cs="Arial"/>
                <w:b/>
                <w:bCs/>
                <w:color w:val="FF0000"/>
                <w:sz w:val="17"/>
                <w:szCs w:val="17"/>
              </w:rPr>
            </w:pPr>
          </w:p>
        </w:tc>
        <w:tc>
          <w:tcPr>
            <w:tcW w:w="0" w:type="auto"/>
            <w:tcBorders>
              <w:top w:val="single" w:sz="4" w:space="0" w:color="auto"/>
              <w:left w:val="nil"/>
              <w:bottom w:val="single" w:sz="4" w:space="0" w:color="auto"/>
              <w:right w:val="nil"/>
            </w:tcBorders>
            <w:shd w:val="clear" w:color="auto" w:fill="BFBFBF" w:themeFill="background1" w:themeFillShade="BF"/>
          </w:tcPr>
          <w:p w:rsidR="00AE5421" w:rsidRPr="008340B1" w:rsidRDefault="00AE5421" w:rsidP="00AE5421">
            <w:pPr>
              <w:jc w:val="center"/>
              <w:rPr>
                <w:rFonts w:ascii="Arial" w:hAnsi="Arial" w:cs="Arial"/>
                <w:b/>
                <w:bCs/>
                <w:color w:val="FF0000"/>
                <w:sz w:val="17"/>
                <w:szCs w:val="17"/>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E5421" w:rsidRPr="008340B1" w:rsidRDefault="00AE5421" w:rsidP="00AE5421">
            <w:pPr>
              <w:jc w:val="center"/>
              <w:rPr>
                <w:rFonts w:ascii="Arial" w:hAnsi="Arial" w:cs="Arial"/>
                <w:b/>
                <w:bCs/>
                <w:color w:val="FF0000"/>
                <w:sz w:val="17"/>
                <w:szCs w:val="17"/>
              </w:rPr>
            </w:pPr>
          </w:p>
        </w:tc>
      </w:tr>
    </w:tbl>
    <w:p w:rsidR="00C32636" w:rsidRDefault="00C32636" w:rsidP="00F71E5C">
      <w:pPr>
        <w:spacing w:before="80" w:line="250" w:lineRule="exact"/>
        <w:ind w:left="709"/>
        <w:jc w:val="both"/>
        <w:rPr>
          <w:rFonts w:ascii="Arial" w:eastAsia="Calibri" w:hAnsi="Arial" w:cs="Arial"/>
          <w:spacing w:val="-1"/>
          <w:sz w:val="17"/>
          <w:szCs w:val="17"/>
        </w:rPr>
      </w:pPr>
    </w:p>
    <w:p w:rsidR="004B4212" w:rsidRDefault="004B4212" w:rsidP="00F71E5C">
      <w:pPr>
        <w:spacing w:before="80" w:line="250" w:lineRule="exact"/>
        <w:ind w:left="709"/>
        <w:jc w:val="both"/>
        <w:rPr>
          <w:rFonts w:ascii="Arial" w:eastAsia="Calibri" w:hAnsi="Arial" w:cs="Arial"/>
          <w:spacing w:val="-1"/>
          <w:sz w:val="17"/>
          <w:szCs w:val="17"/>
        </w:rPr>
      </w:pPr>
    </w:p>
    <w:p w:rsidR="004B4212" w:rsidRDefault="004B4212" w:rsidP="00F71E5C">
      <w:pPr>
        <w:spacing w:before="80" w:line="250" w:lineRule="exact"/>
        <w:ind w:left="709"/>
        <w:jc w:val="both"/>
        <w:rPr>
          <w:rFonts w:ascii="Arial" w:eastAsia="Calibri" w:hAnsi="Arial" w:cs="Arial"/>
          <w:spacing w:val="-1"/>
          <w:sz w:val="17"/>
          <w:szCs w:val="17"/>
        </w:rPr>
      </w:pPr>
    </w:p>
    <w:p w:rsidR="004B4212" w:rsidRDefault="004B4212" w:rsidP="00F71E5C">
      <w:pPr>
        <w:spacing w:before="80" w:line="250" w:lineRule="exact"/>
        <w:ind w:left="709"/>
        <w:jc w:val="both"/>
        <w:rPr>
          <w:rFonts w:ascii="Arial" w:eastAsia="Calibri" w:hAnsi="Arial" w:cs="Arial"/>
          <w:spacing w:val="-1"/>
          <w:sz w:val="17"/>
          <w:szCs w:val="17"/>
        </w:rPr>
      </w:pPr>
    </w:p>
    <w:p w:rsidR="007E1A00" w:rsidRDefault="007E1A00" w:rsidP="00F71E5C">
      <w:pPr>
        <w:spacing w:before="80" w:line="250" w:lineRule="exact"/>
        <w:ind w:firstLine="708"/>
        <w:jc w:val="both"/>
        <w:rPr>
          <w:rFonts w:ascii="Arial" w:eastAsia="Calibri" w:hAnsi="Arial" w:cs="Arial"/>
          <w:spacing w:val="-1"/>
          <w:sz w:val="17"/>
          <w:szCs w:val="17"/>
        </w:rPr>
      </w:pPr>
    </w:p>
    <w:p w:rsidR="00AE5421" w:rsidRDefault="00AE5421" w:rsidP="00F71E5C">
      <w:pPr>
        <w:spacing w:before="80" w:line="250" w:lineRule="exact"/>
        <w:ind w:firstLine="708"/>
        <w:jc w:val="both"/>
        <w:rPr>
          <w:rFonts w:ascii="Arial" w:eastAsia="Calibri" w:hAnsi="Arial" w:cs="Arial"/>
          <w:spacing w:val="-1"/>
          <w:sz w:val="17"/>
          <w:szCs w:val="17"/>
        </w:rPr>
      </w:pPr>
    </w:p>
    <w:p w:rsidR="00AE5421" w:rsidRDefault="00AE5421" w:rsidP="00F71E5C">
      <w:pPr>
        <w:spacing w:before="80" w:line="250" w:lineRule="exact"/>
        <w:ind w:firstLine="708"/>
        <w:jc w:val="both"/>
        <w:rPr>
          <w:rFonts w:ascii="Arial" w:eastAsia="Calibri" w:hAnsi="Arial" w:cs="Arial"/>
          <w:spacing w:val="-1"/>
          <w:sz w:val="17"/>
          <w:szCs w:val="17"/>
        </w:rPr>
      </w:pPr>
    </w:p>
    <w:p w:rsidR="00AE5421" w:rsidRDefault="00AE5421" w:rsidP="00F71E5C">
      <w:pPr>
        <w:spacing w:before="80" w:line="250" w:lineRule="exact"/>
        <w:ind w:firstLine="708"/>
        <w:jc w:val="both"/>
        <w:rPr>
          <w:rFonts w:ascii="Arial" w:eastAsia="Calibri" w:hAnsi="Arial" w:cs="Arial"/>
          <w:spacing w:val="-1"/>
          <w:sz w:val="17"/>
          <w:szCs w:val="17"/>
        </w:rPr>
      </w:pPr>
    </w:p>
    <w:p w:rsidR="00AE5421" w:rsidRDefault="00AE5421" w:rsidP="00F71E5C">
      <w:pPr>
        <w:spacing w:before="80" w:line="250" w:lineRule="exact"/>
        <w:ind w:firstLine="708"/>
        <w:jc w:val="both"/>
        <w:rPr>
          <w:rFonts w:ascii="Arial" w:eastAsia="Calibri" w:hAnsi="Arial" w:cs="Arial"/>
          <w:spacing w:val="-1"/>
          <w:sz w:val="17"/>
          <w:szCs w:val="17"/>
        </w:rPr>
      </w:pPr>
    </w:p>
    <w:p w:rsidR="00AE5421" w:rsidRDefault="00AE5421" w:rsidP="00F71E5C">
      <w:pPr>
        <w:spacing w:before="80" w:line="250" w:lineRule="exact"/>
        <w:ind w:firstLine="708"/>
        <w:jc w:val="both"/>
        <w:rPr>
          <w:rFonts w:ascii="Arial" w:eastAsia="Calibri" w:hAnsi="Arial" w:cs="Arial"/>
          <w:spacing w:val="-1"/>
          <w:sz w:val="17"/>
          <w:szCs w:val="17"/>
        </w:rPr>
      </w:pPr>
    </w:p>
    <w:p w:rsidR="00AE5421" w:rsidRDefault="00AE5421" w:rsidP="00F71E5C">
      <w:pPr>
        <w:spacing w:before="80" w:line="250" w:lineRule="exact"/>
        <w:ind w:firstLine="708"/>
        <w:jc w:val="both"/>
        <w:rPr>
          <w:rFonts w:ascii="Arial" w:eastAsia="Calibri" w:hAnsi="Arial" w:cs="Arial"/>
          <w:spacing w:val="-1"/>
          <w:sz w:val="17"/>
          <w:szCs w:val="17"/>
        </w:rPr>
      </w:pPr>
    </w:p>
    <w:p w:rsidR="00F71E5C" w:rsidRDefault="00C943BC" w:rsidP="001F6631">
      <w:pPr>
        <w:rPr>
          <w:rFonts w:ascii="Arial" w:eastAsia="Calibri" w:hAnsi="Arial" w:cs="Arial"/>
          <w:spacing w:val="-1"/>
          <w:sz w:val="17"/>
          <w:szCs w:val="17"/>
        </w:rPr>
      </w:pPr>
      <w:r>
        <w:rPr>
          <w:rFonts w:ascii="Arial" w:eastAsia="Calibri" w:hAnsi="Arial" w:cs="Arial"/>
          <w:spacing w:val="-1"/>
          <w:sz w:val="17"/>
          <w:szCs w:val="17"/>
        </w:rPr>
        <w:tab/>
      </w:r>
    </w:p>
    <w:p w:rsidR="00F71E5C" w:rsidRPr="00BA272D" w:rsidRDefault="00F71E5C" w:rsidP="00E36E17">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Se informa de manera agrupada por cuenta el rubro de Activos Intangibles,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1E782A" w:rsidP="00F71E5C">
      <w:pPr>
        <w:autoSpaceDE w:val="0"/>
        <w:autoSpaceDN w:val="0"/>
        <w:adjustRightInd w:val="0"/>
        <w:spacing w:before="240"/>
        <w:ind w:left="360"/>
        <w:jc w:val="center"/>
        <w:rPr>
          <w:rFonts w:ascii="Arial" w:eastAsia="Calibri" w:hAnsi="Arial" w:cs="Arial"/>
          <w:b/>
          <w:spacing w:val="-1"/>
          <w:sz w:val="17"/>
          <w:szCs w:val="17"/>
        </w:rPr>
      </w:pPr>
      <w:r>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W w:w="6516" w:type="dxa"/>
        <w:tblInd w:w="3518" w:type="dxa"/>
        <w:tblCellMar>
          <w:left w:w="70" w:type="dxa"/>
          <w:right w:w="70" w:type="dxa"/>
        </w:tblCellMar>
        <w:tblLook w:val="04A0" w:firstRow="1" w:lastRow="0" w:firstColumn="1" w:lastColumn="0" w:noHBand="0" w:noVBand="1"/>
      </w:tblPr>
      <w:tblGrid>
        <w:gridCol w:w="2830"/>
        <w:gridCol w:w="1843"/>
        <w:gridCol w:w="1843"/>
      </w:tblGrid>
      <w:tr w:rsidR="00F71E5C" w:rsidRPr="00BA272D" w:rsidTr="001E782A">
        <w:trPr>
          <w:trHeight w:val="261"/>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Software</w:t>
            </w:r>
          </w:p>
        </w:tc>
        <w:tc>
          <w:tcPr>
            <w:tcW w:w="1843"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59,313,587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65,289,778 </w:t>
            </w:r>
          </w:p>
        </w:tc>
      </w:tr>
      <w:tr w:rsidR="00FB1EEE" w:rsidRPr="0037045C"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rsidR="00FB1EEE" w:rsidRPr="0037045C" w:rsidRDefault="00FB1EEE" w:rsidP="00FB1EEE">
            <w:pPr>
              <w:rPr>
                <w:rFonts w:ascii="Arial" w:hAnsi="Arial" w:cs="Arial"/>
                <w:sz w:val="17"/>
                <w:szCs w:val="17"/>
              </w:rPr>
            </w:pPr>
            <w:r w:rsidRPr="0037045C">
              <w:rPr>
                <w:rFonts w:ascii="Arial" w:hAnsi="Arial" w:cs="Arial"/>
                <w:sz w:val="17"/>
                <w:szCs w:val="17"/>
              </w:rPr>
              <w:t>Patentes, Marcas y Derechos</w:t>
            </w:r>
          </w:p>
        </w:tc>
        <w:tc>
          <w:tcPr>
            <w:tcW w:w="1843" w:type="dxa"/>
            <w:tcBorders>
              <w:top w:val="single" w:sz="4" w:space="0" w:color="auto"/>
              <w:left w:val="nil"/>
              <w:bottom w:val="single" w:sz="4" w:space="0" w:color="auto"/>
              <w:right w:val="single" w:sz="4" w:space="0" w:color="auto"/>
            </w:tcBorders>
            <w:shd w:val="clear" w:color="auto" w:fill="auto"/>
          </w:tcPr>
          <w:p w:rsidR="00FB1EEE" w:rsidRPr="0037045C" w:rsidRDefault="00FB1EEE" w:rsidP="00FB1EEE">
            <w:pPr>
              <w:jc w:val="right"/>
              <w:rPr>
                <w:rFonts w:ascii="Arial" w:hAnsi="Arial" w:cs="Arial"/>
                <w:sz w:val="17"/>
                <w:szCs w:val="17"/>
              </w:rPr>
            </w:pPr>
            <w:r w:rsidRPr="0037045C">
              <w:rPr>
                <w:rFonts w:ascii="Arial" w:hAnsi="Arial" w:cs="Arial"/>
                <w:sz w:val="17"/>
                <w:szCs w:val="17"/>
              </w:rPr>
              <w:t xml:space="preserve"> 117,645 </w:t>
            </w:r>
          </w:p>
        </w:tc>
        <w:tc>
          <w:tcPr>
            <w:tcW w:w="1843" w:type="dxa"/>
            <w:tcBorders>
              <w:top w:val="nil"/>
              <w:left w:val="single" w:sz="4" w:space="0" w:color="auto"/>
              <w:bottom w:val="single" w:sz="4" w:space="0" w:color="auto"/>
              <w:right w:val="single" w:sz="4" w:space="0" w:color="auto"/>
            </w:tcBorders>
            <w:shd w:val="clear" w:color="auto" w:fill="auto"/>
          </w:tcPr>
          <w:p w:rsidR="00FB1EEE" w:rsidRPr="0037045C" w:rsidRDefault="00FB1EEE" w:rsidP="00FB1EEE">
            <w:pPr>
              <w:jc w:val="right"/>
              <w:rPr>
                <w:rFonts w:ascii="Arial" w:hAnsi="Arial" w:cs="Arial"/>
                <w:sz w:val="17"/>
                <w:szCs w:val="17"/>
              </w:rPr>
            </w:pPr>
            <w:r w:rsidRPr="0037045C">
              <w:rPr>
                <w:rFonts w:ascii="Arial" w:hAnsi="Arial" w:cs="Arial"/>
                <w:sz w:val="17"/>
                <w:szCs w:val="17"/>
              </w:rPr>
              <w:t xml:space="preserve"> 125,662 </w:t>
            </w:r>
          </w:p>
        </w:tc>
      </w:tr>
      <w:tr w:rsidR="00FB1EEE" w:rsidRPr="0037045C"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rsidR="00FB1EEE" w:rsidRPr="0037045C" w:rsidRDefault="00FB1EEE" w:rsidP="00FB1EEE">
            <w:pPr>
              <w:rPr>
                <w:rFonts w:ascii="Arial" w:hAnsi="Arial" w:cs="Arial"/>
                <w:sz w:val="17"/>
                <w:szCs w:val="17"/>
              </w:rPr>
            </w:pPr>
            <w:r w:rsidRPr="0037045C">
              <w:rPr>
                <w:rFonts w:ascii="Arial" w:hAnsi="Arial" w:cs="Arial"/>
                <w:sz w:val="17"/>
                <w:szCs w:val="17"/>
              </w:rPr>
              <w:t>Licencias</w:t>
            </w:r>
          </w:p>
        </w:tc>
        <w:tc>
          <w:tcPr>
            <w:tcW w:w="1843" w:type="dxa"/>
            <w:tcBorders>
              <w:top w:val="single" w:sz="4" w:space="0" w:color="auto"/>
              <w:left w:val="nil"/>
              <w:bottom w:val="single" w:sz="4" w:space="0" w:color="auto"/>
              <w:right w:val="single" w:sz="4" w:space="0" w:color="auto"/>
            </w:tcBorders>
            <w:shd w:val="clear" w:color="auto" w:fill="auto"/>
          </w:tcPr>
          <w:p w:rsidR="00FB1EEE" w:rsidRPr="0037045C" w:rsidRDefault="00FB1EEE" w:rsidP="00FB1EEE">
            <w:pPr>
              <w:jc w:val="right"/>
              <w:rPr>
                <w:rFonts w:ascii="Arial" w:hAnsi="Arial" w:cs="Arial"/>
                <w:sz w:val="17"/>
                <w:szCs w:val="17"/>
              </w:rPr>
            </w:pPr>
            <w:r w:rsidRPr="0037045C">
              <w:rPr>
                <w:rFonts w:ascii="Arial" w:hAnsi="Arial" w:cs="Arial"/>
                <w:sz w:val="17"/>
                <w:szCs w:val="17"/>
              </w:rPr>
              <w:t xml:space="preserve"> 122,206,835 </w:t>
            </w:r>
          </w:p>
        </w:tc>
        <w:tc>
          <w:tcPr>
            <w:tcW w:w="1843" w:type="dxa"/>
            <w:tcBorders>
              <w:top w:val="nil"/>
              <w:left w:val="single" w:sz="4" w:space="0" w:color="auto"/>
              <w:bottom w:val="single" w:sz="4" w:space="0" w:color="auto"/>
              <w:right w:val="single" w:sz="4" w:space="0" w:color="auto"/>
            </w:tcBorders>
            <w:shd w:val="clear" w:color="auto" w:fill="auto"/>
          </w:tcPr>
          <w:p w:rsidR="00FB1EEE" w:rsidRPr="0037045C" w:rsidRDefault="00FB1EEE" w:rsidP="00FB1EEE">
            <w:pPr>
              <w:jc w:val="right"/>
              <w:rPr>
                <w:rFonts w:ascii="Arial" w:hAnsi="Arial" w:cs="Arial"/>
                <w:sz w:val="17"/>
                <w:szCs w:val="17"/>
              </w:rPr>
            </w:pPr>
            <w:r w:rsidRPr="0037045C">
              <w:rPr>
                <w:rFonts w:ascii="Arial" w:hAnsi="Arial" w:cs="Arial"/>
                <w:sz w:val="17"/>
                <w:szCs w:val="17"/>
              </w:rPr>
              <w:t xml:space="preserve"> 154,697,509 </w:t>
            </w:r>
          </w:p>
        </w:tc>
      </w:tr>
      <w:tr w:rsidR="00FB1EEE" w:rsidRPr="0037045C" w:rsidTr="001E782A">
        <w:trPr>
          <w:trHeight w:val="240"/>
        </w:trPr>
        <w:tc>
          <w:tcPr>
            <w:tcW w:w="2830" w:type="dxa"/>
            <w:tcBorders>
              <w:top w:val="nil"/>
              <w:left w:val="single" w:sz="4" w:space="0" w:color="auto"/>
              <w:bottom w:val="single" w:sz="4" w:space="0" w:color="auto"/>
              <w:right w:val="single" w:sz="4" w:space="0" w:color="auto"/>
            </w:tcBorders>
            <w:shd w:val="clear" w:color="auto" w:fill="auto"/>
          </w:tcPr>
          <w:p w:rsidR="00FB1EEE" w:rsidRPr="0037045C" w:rsidRDefault="00FB1EEE" w:rsidP="00FB1EEE">
            <w:pPr>
              <w:rPr>
                <w:rFonts w:ascii="Arial" w:hAnsi="Arial" w:cs="Arial"/>
                <w:sz w:val="17"/>
                <w:szCs w:val="17"/>
              </w:rPr>
            </w:pPr>
            <w:r w:rsidRPr="0037045C">
              <w:rPr>
                <w:rFonts w:ascii="Arial" w:hAnsi="Arial" w:cs="Arial"/>
                <w:sz w:val="17"/>
                <w:szCs w:val="17"/>
              </w:rPr>
              <w:t>Otros Activos Intangibles</w:t>
            </w:r>
          </w:p>
        </w:tc>
        <w:tc>
          <w:tcPr>
            <w:tcW w:w="1843" w:type="dxa"/>
            <w:tcBorders>
              <w:top w:val="single" w:sz="4" w:space="0" w:color="auto"/>
              <w:left w:val="nil"/>
              <w:bottom w:val="single" w:sz="4" w:space="0" w:color="auto"/>
              <w:right w:val="single" w:sz="4" w:space="0" w:color="auto"/>
            </w:tcBorders>
            <w:shd w:val="clear" w:color="auto" w:fill="auto"/>
          </w:tcPr>
          <w:p w:rsidR="00FB1EEE" w:rsidRPr="0037045C" w:rsidRDefault="00FB1EEE" w:rsidP="00FB1EEE">
            <w:pPr>
              <w:jc w:val="right"/>
              <w:rPr>
                <w:rFonts w:ascii="Arial" w:hAnsi="Arial" w:cs="Arial"/>
                <w:sz w:val="17"/>
                <w:szCs w:val="17"/>
              </w:rPr>
            </w:pPr>
            <w:r w:rsidRPr="0037045C">
              <w:rPr>
                <w:rFonts w:ascii="Arial" w:hAnsi="Arial" w:cs="Arial"/>
                <w:sz w:val="17"/>
                <w:szCs w:val="17"/>
              </w:rPr>
              <w:t xml:space="preserve"> -   </w:t>
            </w:r>
          </w:p>
        </w:tc>
        <w:tc>
          <w:tcPr>
            <w:tcW w:w="1843" w:type="dxa"/>
            <w:tcBorders>
              <w:top w:val="nil"/>
              <w:left w:val="single" w:sz="4" w:space="0" w:color="auto"/>
              <w:bottom w:val="single" w:sz="4" w:space="0" w:color="auto"/>
              <w:right w:val="single" w:sz="4" w:space="0" w:color="auto"/>
            </w:tcBorders>
            <w:shd w:val="clear" w:color="auto" w:fill="auto"/>
          </w:tcPr>
          <w:p w:rsidR="00FB1EEE" w:rsidRPr="0037045C" w:rsidRDefault="00FB1EEE" w:rsidP="00FB1EEE">
            <w:pPr>
              <w:jc w:val="right"/>
              <w:rPr>
                <w:rFonts w:ascii="Arial" w:hAnsi="Arial" w:cs="Arial"/>
                <w:sz w:val="17"/>
                <w:szCs w:val="17"/>
              </w:rPr>
            </w:pPr>
            <w:r w:rsidRPr="0037045C">
              <w:rPr>
                <w:rFonts w:ascii="Arial" w:hAnsi="Arial" w:cs="Arial"/>
                <w:sz w:val="17"/>
                <w:szCs w:val="17"/>
              </w:rPr>
              <w:t xml:space="preserve"> 11,020 </w:t>
            </w:r>
          </w:p>
        </w:tc>
      </w:tr>
      <w:tr w:rsidR="00FB1EEE" w:rsidRPr="0037045C" w:rsidTr="001E782A">
        <w:trPr>
          <w:trHeight w:val="240"/>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EEE" w:rsidRPr="0037045C" w:rsidRDefault="00FB1EEE" w:rsidP="00FB1EEE">
            <w:pPr>
              <w:jc w:val="center"/>
              <w:rPr>
                <w:rFonts w:ascii="Arial" w:hAnsi="Arial" w:cs="Arial"/>
                <w:b/>
                <w:bCs/>
                <w:color w:val="000000"/>
                <w:sz w:val="17"/>
                <w:szCs w:val="17"/>
              </w:rPr>
            </w:pPr>
            <w:r w:rsidRPr="0037045C">
              <w:rPr>
                <w:rFonts w:ascii="Arial" w:hAnsi="Arial" w:cs="Arial"/>
                <w:b/>
                <w:bCs/>
                <w:color w:val="000000"/>
                <w:sz w:val="17"/>
                <w:szCs w:val="17"/>
              </w:rPr>
              <w:t>Total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37045C" w:rsidRDefault="00FB1EEE" w:rsidP="00FB1EEE">
            <w:pPr>
              <w:jc w:val="right"/>
              <w:rPr>
                <w:rFonts w:ascii="Arial" w:hAnsi="Arial" w:cs="Arial"/>
                <w:b/>
                <w:sz w:val="17"/>
                <w:szCs w:val="17"/>
              </w:rPr>
            </w:pPr>
            <w:r w:rsidRPr="0037045C">
              <w:rPr>
                <w:rFonts w:ascii="Arial" w:hAnsi="Arial" w:cs="Arial"/>
                <w:b/>
                <w:sz w:val="17"/>
                <w:szCs w:val="17"/>
              </w:rPr>
              <w:t xml:space="preserve"> 181,638,068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37045C" w:rsidRDefault="00FB1EEE" w:rsidP="00FB1EEE">
            <w:pPr>
              <w:jc w:val="right"/>
              <w:rPr>
                <w:rFonts w:ascii="Arial" w:hAnsi="Arial" w:cs="Arial"/>
                <w:b/>
                <w:sz w:val="17"/>
                <w:szCs w:val="17"/>
              </w:rPr>
            </w:pPr>
            <w:r w:rsidRPr="0037045C">
              <w:rPr>
                <w:rFonts w:ascii="Arial" w:hAnsi="Arial" w:cs="Arial"/>
                <w:b/>
                <w:sz w:val="17"/>
                <w:szCs w:val="17"/>
              </w:rPr>
              <w:t xml:space="preserve"> 220,123,970 </w:t>
            </w:r>
          </w:p>
        </w:tc>
      </w:tr>
    </w:tbl>
    <w:p w:rsidR="00D51827" w:rsidRPr="0037045C" w:rsidRDefault="00D51827" w:rsidP="00F833A6">
      <w:pPr>
        <w:spacing w:before="80" w:line="250" w:lineRule="exact"/>
        <w:ind w:left="709"/>
        <w:jc w:val="both"/>
        <w:rPr>
          <w:rFonts w:ascii="Arial" w:eastAsia="Calibri" w:hAnsi="Arial" w:cs="Arial"/>
          <w:spacing w:val="-1"/>
          <w:sz w:val="17"/>
          <w:szCs w:val="17"/>
        </w:rPr>
      </w:pPr>
    </w:p>
    <w:p w:rsidR="001F6631" w:rsidRDefault="0037045C" w:rsidP="001F6631">
      <w:pPr>
        <w:spacing w:before="80" w:line="250" w:lineRule="exact"/>
        <w:ind w:left="709" w:right="-1559"/>
        <w:jc w:val="both"/>
        <w:rPr>
          <w:rFonts w:ascii="Arial" w:eastAsia="Calibri" w:hAnsi="Arial" w:cs="Arial"/>
          <w:spacing w:val="-1"/>
          <w:sz w:val="17"/>
          <w:szCs w:val="17"/>
        </w:rPr>
      </w:pPr>
      <w:r w:rsidRPr="0037045C">
        <w:rPr>
          <w:rFonts w:ascii="Arial" w:eastAsia="Calibri" w:hAnsi="Arial" w:cs="Arial"/>
          <w:spacing w:val="-1"/>
          <w:sz w:val="17"/>
          <w:szCs w:val="17"/>
        </w:rPr>
        <w:t>El decremento representa el 17% en el saldo en el rubro Activos Intangibles, corresponde a la baja de licencias informáticas e intelectuales.</w:t>
      </w:r>
    </w:p>
    <w:p w:rsidR="001F6631" w:rsidRDefault="001F6631" w:rsidP="001F6631">
      <w:pPr>
        <w:spacing w:before="80" w:line="250" w:lineRule="exact"/>
        <w:ind w:left="709" w:right="-1559"/>
        <w:jc w:val="both"/>
        <w:rPr>
          <w:rFonts w:ascii="Arial" w:eastAsia="Calibri" w:hAnsi="Arial" w:cs="Arial"/>
          <w:spacing w:val="-1"/>
          <w:sz w:val="17"/>
          <w:szCs w:val="17"/>
        </w:rPr>
      </w:pPr>
    </w:p>
    <w:p w:rsidR="001F6631" w:rsidRDefault="001F6631" w:rsidP="001F6631">
      <w:pPr>
        <w:spacing w:before="80" w:line="250" w:lineRule="exact"/>
        <w:ind w:left="709" w:right="-1559"/>
        <w:jc w:val="both"/>
        <w:rPr>
          <w:rFonts w:ascii="Arial" w:eastAsia="Calibri" w:hAnsi="Arial" w:cs="Arial"/>
          <w:spacing w:val="-1"/>
          <w:sz w:val="17"/>
          <w:szCs w:val="17"/>
        </w:rPr>
      </w:pPr>
    </w:p>
    <w:p w:rsidR="0033043F" w:rsidRPr="00DD7A5F" w:rsidRDefault="00F71E5C" w:rsidP="00DD7A5F">
      <w:pPr>
        <w:spacing w:before="80" w:line="250" w:lineRule="exact"/>
        <w:ind w:left="709" w:right="-1559"/>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por cuenta, los rubros de activos intangibles y diferidos, su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xml:space="preserve"> de la amortización</w:t>
      </w:r>
      <w:r w:rsidR="00F971D8">
        <w:rPr>
          <w:rFonts w:ascii="Arial" w:eastAsia="Calibri" w:hAnsi="Arial" w:cs="Arial"/>
          <w:spacing w:val="-1"/>
          <w:sz w:val="17"/>
          <w:szCs w:val="17"/>
        </w:rPr>
        <w:t xml:space="preserve"> acumulada </w:t>
      </w:r>
      <w:r w:rsidRPr="00BA272D">
        <w:rPr>
          <w:rFonts w:ascii="Arial" w:eastAsia="Calibri" w:hAnsi="Arial" w:cs="Arial"/>
          <w:spacing w:val="-1"/>
          <w:sz w:val="17"/>
          <w:szCs w:val="17"/>
        </w:rPr>
        <w:t>del eje</w:t>
      </w:r>
      <w:r w:rsidR="00DD7A5F">
        <w:rPr>
          <w:rFonts w:ascii="Arial" w:eastAsia="Calibri" w:hAnsi="Arial" w:cs="Arial"/>
          <w:spacing w:val="-1"/>
          <w:sz w:val="17"/>
          <w:szCs w:val="17"/>
        </w:rPr>
        <w:t>rcicio, tasa y método aplicados</w:t>
      </w:r>
      <w:r w:rsidR="00F21C61">
        <w:rPr>
          <w:rFonts w:ascii="Arial" w:eastAsia="Calibri" w:hAnsi="Arial" w:cs="Arial"/>
          <w:b/>
          <w:spacing w:val="-1"/>
          <w:sz w:val="17"/>
          <w:szCs w:val="17"/>
        </w:rPr>
        <w:t xml:space="preserve">                                                           </w:t>
      </w:r>
    </w:p>
    <w:p w:rsidR="0033043F" w:rsidRDefault="0033043F" w:rsidP="00F71E5C">
      <w:pPr>
        <w:autoSpaceDE w:val="0"/>
        <w:autoSpaceDN w:val="0"/>
        <w:adjustRightInd w:val="0"/>
        <w:spacing w:before="240"/>
        <w:jc w:val="center"/>
        <w:rPr>
          <w:rFonts w:ascii="Arial" w:eastAsia="Calibri" w:hAnsi="Arial" w:cs="Arial"/>
          <w:b/>
          <w:spacing w:val="-1"/>
          <w:sz w:val="17"/>
          <w:szCs w:val="17"/>
        </w:rPr>
      </w:pPr>
    </w:p>
    <w:p w:rsidR="00F71E5C" w:rsidRPr="00BA272D" w:rsidRDefault="00F71E5C" w:rsidP="0033043F">
      <w:pPr>
        <w:autoSpaceDE w:val="0"/>
        <w:autoSpaceDN w:val="0"/>
        <w:adjustRightInd w:val="0"/>
        <w:spacing w:before="24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3821" w:type="pct"/>
        <w:tblInd w:w="2614" w:type="dxa"/>
        <w:tblCellMar>
          <w:left w:w="70" w:type="dxa"/>
          <w:right w:w="70" w:type="dxa"/>
        </w:tblCellMar>
        <w:tblLook w:val="04A0" w:firstRow="1" w:lastRow="0" w:firstColumn="1" w:lastColumn="0" w:noHBand="0" w:noVBand="1"/>
      </w:tblPr>
      <w:tblGrid>
        <w:gridCol w:w="3429"/>
        <w:gridCol w:w="1526"/>
        <w:gridCol w:w="1524"/>
        <w:gridCol w:w="1524"/>
        <w:gridCol w:w="1522"/>
      </w:tblGrid>
      <w:tr w:rsidR="00F71E5C" w:rsidRPr="00BA272D" w:rsidTr="00F21C61">
        <w:trPr>
          <w:trHeight w:val="720"/>
        </w:trPr>
        <w:tc>
          <w:tcPr>
            <w:tcW w:w="1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 de activos intangibles</w:t>
            </w:r>
          </w:p>
        </w:tc>
        <w:tc>
          <w:tcPr>
            <w:tcW w:w="8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Amortización acumulada del ejercicio</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Amortización acumulada</w:t>
            </w:r>
          </w:p>
        </w:tc>
        <w:tc>
          <w:tcPr>
            <w:tcW w:w="80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Tasa aplicada</w:t>
            </w:r>
          </w:p>
        </w:tc>
        <w:tc>
          <w:tcPr>
            <w:tcW w:w="79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Método aplicado</w:t>
            </w:r>
          </w:p>
        </w:tc>
      </w:tr>
      <w:tr w:rsidR="00FB1EEE" w:rsidRPr="00BA272D" w:rsidTr="00F21C61">
        <w:trPr>
          <w:trHeight w:val="240"/>
        </w:trPr>
        <w:tc>
          <w:tcPr>
            <w:tcW w:w="1800" w:type="pct"/>
            <w:tcBorders>
              <w:top w:val="nil"/>
              <w:left w:val="single" w:sz="4" w:space="0" w:color="auto"/>
              <w:bottom w:val="single" w:sz="4" w:space="0" w:color="auto"/>
              <w:right w:val="single" w:sz="4" w:space="0" w:color="auto"/>
            </w:tcBorders>
            <w:shd w:val="clear" w:color="auto" w:fill="auto"/>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Software</w:t>
            </w:r>
          </w:p>
        </w:tc>
        <w:tc>
          <w:tcPr>
            <w:tcW w:w="801" w:type="pct"/>
            <w:tcBorders>
              <w:top w:val="nil"/>
              <w:left w:val="nil"/>
              <w:bottom w:val="single" w:sz="4" w:space="0" w:color="auto"/>
              <w:right w:val="single" w:sz="4" w:space="0" w:color="auto"/>
            </w:tcBorders>
            <w:shd w:val="clear" w:color="auto" w:fill="auto"/>
          </w:tcPr>
          <w:p w:rsidR="00FB1EEE" w:rsidRPr="00BA272D" w:rsidRDefault="00BB0B58" w:rsidP="00FB1EEE">
            <w:pPr>
              <w:jc w:val="right"/>
              <w:rPr>
                <w:rFonts w:ascii="Arial" w:hAnsi="Arial" w:cs="Arial"/>
                <w:sz w:val="17"/>
                <w:szCs w:val="17"/>
              </w:rPr>
            </w:pPr>
            <w:r>
              <w:rPr>
                <w:rFonts w:ascii="Arial" w:hAnsi="Arial" w:cs="Arial"/>
                <w:sz w:val="17"/>
                <w:szCs w:val="17"/>
              </w:rPr>
              <w:t>-</w:t>
            </w:r>
            <w:r w:rsidR="00FB1EEE" w:rsidRPr="00BA272D">
              <w:rPr>
                <w:rFonts w:ascii="Arial" w:hAnsi="Arial" w:cs="Arial"/>
                <w:sz w:val="17"/>
                <w:szCs w:val="17"/>
              </w:rPr>
              <w:t xml:space="preserve"> 2,469,614 </w:t>
            </w:r>
          </w:p>
        </w:tc>
        <w:tc>
          <w:tcPr>
            <w:tcW w:w="800" w:type="pct"/>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35,499,448 </w:t>
            </w:r>
          </w:p>
        </w:tc>
        <w:tc>
          <w:tcPr>
            <w:tcW w:w="800" w:type="pct"/>
            <w:tcBorders>
              <w:top w:val="nil"/>
              <w:left w:val="nil"/>
              <w:bottom w:val="single" w:sz="4" w:space="0" w:color="auto"/>
              <w:right w:val="single" w:sz="4" w:space="0" w:color="auto"/>
            </w:tcBorders>
            <w:shd w:val="clear" w:color="auto" w:fill="auto"/>
            <w:hideMark/>
          </w:tcPr>
          <w:p w:rsidR="00FB1EEE" w:rsidRPr="00BA272D" w:rsidRDefault="00FB1EEE" w:rsidP="00FB1EEE">
            <w:pPr>
              <w:rPr>
                <w:rFonts w:ascii="Arial" w:hAnsi="Arial" w:cs="Arial"/>
                <w:sz w:val="17"/>
                <w:szCs w:val="17"/>
              </w:rPr>
            </w:pPr>
            <w:r w:rsidRPr="00BA272D">
              <w:rPr>
                <w:rFonts w:ascii="Arial" w:hAnsi="Arial" w:cs="Arial"/>
                <w:sz w:val="17"/>
                <w:szCs w:val="17"/>
              </w:rPr>
              <w:t>25% anual</w:t>
            </w:r>
          </w:p>
        </w:tc>
        <w:tc>
          <w:tcPr>
            <w:tcW w:w="799" w:type="pct"/>
            <w:tcBorders>
              <w:top w:val="nil"/>
              <w:left w:val="nil"/>
              <w:bottom w:val="single" w:sz="4" w:space="0" w:color="auto"/>
              <w:right w:val="single" w:sz="4" w:space="0" w:color="auto"/>
            </w:tcBorders>
            <w:shd w:val="clear" w:color="auto" w:fill="auto"/>
            <w:hideMark/>
          </w:tcPr>
          <w:p w:rsidR="00FB1EEE" w:rsidRPr="00BA272D" w:rsidRDefault="00FB1EEE" w:rsidP="00FB1EEE">
            <w:pPr>
              <w:rPr>
                <w:rFonts w:ascii="Arial" w:hAnsi="Arial" w:cs="Arial"/>
                <w:sz w:val="17"/>
                <w:szCs w:val="17"/>
              </w:rPr>
            </w:pPr>
            <w:r w:rsidRPr="00BA272D">
              <w:rPr>
                <w:rFonts w:ascii="Arial" w:hAnsi="Arial" w:cs="Arial"/>
                <w:sz w:val="17"/>
                <w:szCs w:val="17"/>
              </w:rPr>
              <w:t>Lineal</w:t>
            </w:r>
          </w:p>
        </w:tc>
      </w:tr>
      <w:tr w:rsidR="00FB1EEE" w:rsidRPr="00BA272D" w:rsidTr="00F21C61">
        <w:trPr>
          <w:trHeight w:val="240"/>
        </w:trPr>
        <w:tc>
          <w:tcPr>
            <w:tcW w:w="1800" w:type="pct"/>
            <w:tcBorders>
              <w:top w:val="nil"/>
              <w:left w:val="single" w:sz="4" w:space="0" w:color="auto"/>
              <w:bottom w:val="single" w:sz="4" w:space="0" w:color="auto"/>
              <w:right w:val="single" w:sz="4" w:space="0" w:color="auto"/>
            </w:tcBorders>
            <w:shd w:val="clear" w:color="auto" w:fill="auto"/>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Patentes, marcas y derechos</w:t>
            </w:r>
          </w:p>
        </w:tc>
        <w:tc>
          <w:tcPr>
            <w:tcW w:w="801" w:type="pct"/>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1,905 </w:t>
            </w:r>
          </w:p>
        </w:tc>
        <w:tc>
          <w:tcPr>
            <w:tcW w:w="800" w:type="pct"/>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32,905 </w:t>
            </w:r>
          </w:p>
        </w:tc>
        <w:tc>
          <w:tcPr>
            <w:tcW w:w="800" w:type="pct"/>
            <w:tcBorders>
              <w:top w:val="nil"/>
              <w:left w:val="nil"/>
              <w:bottom w:val="single" w:sz="4" w:space="0" w:color="auto"/>
              <w:right w:val="single" w:sz="4" w:space="0" w:color="auto"/>
            </w:tcBorders>
            <w:shd w:val="clear" w:color="auto" w:fill="auto"/>
            <w:hideMark/>
          </w:tcPr>
          <w:p w:rsidR="00FB1EEE" w:rsidRPr="00BA272D" w:rsidRDefault="00FB1EEE" w:rsidP="00FB1EEE">
            <w:pPr>
              <w:rPr>
                <w:rFonts w:ascii="Arial" w:hAnsi="Arial" w:cs="Arial"/>
                <w:sz w:val="17"/>
                <w:szCs w:val="17"/>
              </w:rPr>
            </w:pPr>
            <w:r w:rsidRPr="00BA272D">
              <w:rPr>
                <w:rFonts w:ascii="Arial" w:hAnsi="Arial" w:cs="Arial"/>
                <w:sz w:val="17"/>
                <w:szCs w:val="17"/>
              </w:rPr>
              <w:t>10% anual</w:t>
            </w:r>
          </w:p>
        </w:tc>
        <w:tc>
          <w:tcPr>
            <w:tcW w:w="799" w:type="pct"/>
            <w:tcBorders>
              <w:top w:val="nil"/>
              <w:left w:val="nil"/>
              <w:bottom w:val="single" w:sz="4" w:space="0" w:color="auto"/>
              <w:right w:val="single" w:sz="4" w:space="0" w:color="auto"/>
            </w:tcBorders>
            <w:shd w:val="clear" w:color="auto" w:fill="auto"/>
            <w:hideMark/>
          </w:tcPr>
          <w:p w:rsidR="00FB1EEE" w:rsidRPr="00BA272D" w:rsidRDefault="00FB1EEE" w:rsidP="00FB1EEE">
            <w:pPr>
              <w:rPr>
                <w:rFonts w:ascii="Arial" w:hAnsi="Arial" w:cs="Arial"/>
                <w:sz w:val="17"/>
                <w:szCs w:val="17"/>
              </w:rPr>
            </w:pPr>
            <w:r w:rsidRPr="00BA272D">
              <w:rPr>
                <w:rFonts w:ascii="Arial" w:hAnsi="Arial" w:cs="Arial"/>
                <w:sz w:val="17"/>
                <w:szCs w:val="17"/>
              </w:rPr>
              <w:t>Lineal</w:t>
            </w:r>
          </w:p>
        </w:tc>
      </w:tr>
      <w:tr w:rsidR="00FB1EEE" w:rsidRPr="00BA272D" w:rsidTr="00F21C61">
        <w:trPr>
          <w:trHeight w:val="240"/>
        </w:trPr>
        <w:tc>
          <w:tcPr>
            <w:tcW w:w="1800" w:type="pct"/>
            <w:tcBorders>
              <w:top w:val="nil"/>
              <w:left w:val="single" w:sz="4" w:space="0" w:color="auto"/>
              <w:bottom w:val="single" w:sz="4" w:space="0" w:color="auto"/>
              <w:right w:val="single" w:sz="4" w:space="0" w:color="auto"/>
            </w:tcBorders>
            <w:shd w:val="clear" w:color="auto" w:fill="auto"/>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Licencias</w:t>
            </w:r>
          </w:p>
        </w:tc>
        <w:tc>
          <w:tcPr>
            <w:tcW w:w="801" w:type="pct"/>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24,339,998 </w:t>
            </w:r>
          </w:p>
        </w:tc>
        <w:tc>
          <w:tcPr>
            <w:tcW w:w="800" w:type="pct"/>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66,532,454 </w:t>
            </w:r>
          </w:p>
        </w:tc>
        <w:tc>
          <w:tcPr>
            <w:tcW w:w="800" w:type="pct"/>
            <w:tcBorders>
              <w:top w:val="nil"/>
              <w:left w:val="nil"/>
              <w:bottom w:val="single" w:sz="4" w:space="0" w:color="auto"/>
              <w:right w:val="single" w:sz="4" w:space="0" w:color="auto"/>
            </w:tcBorders>
            <w:shd w:val="clear" w:color="auto" w:fill="auto"/>
            <w:hideMark/>
          </w:tcPr>
          <w:p w:rsidR="00FB1EEE" w:rsidRPr="00BA272D" w:rsidRDefault="00FB1EEE" w:rsidP="00FB1EEE">
            <w:pPr>
              <w:rPr>
                <w:rFonts w:ascii="Arial" w:hAnsi="Arial" w:cs="Arial"/>
                <w:sz w:val="17"/>
                <w:szCs w:val="17"/>
              </w:rPr>
            </w:pPr>
            <w:r w:rsidRPr="00BA272D">
              <w:rPr>
                <w:rFonts w:ascii="Arial" w:hAnsi="Arial" w:cs="Arial"/>
                <w:sz w:val="17"/>
                <w:szCs w:val="17"/>
              </w:rPr>
              <w:t>20% anual</w:t>
            </w:r>
          </w:p>
        </w:tc>
        <w:tc>
          <w:tcPr>
            <w:tcW w:w="799" w:type="pct"/>
            <w:tcBorders>
              <w:top w:val="nil"/>
              <w:left w:val="nil"/>
              <w:bottom w:val="single" w:sz="4" w:space="0" w:color="auto"/>
              <w:right w:val="single" w:sz="4" w:space="0" w:color="auto"/>
            </w:tcBorders>
            <w:shd w:val="clear" w:color="auto" w:fill="auto"/>
            <w:hideMark/>
          </w:tcPr>
          <w:p w:rsidR="00FB1EEE" w:rsidRPr="00BA272D" w:rsidRDefault="00FB1EEE" w:rsidP="00FB1EEE">
            <w:pPr>
              <w:rPr>
                <w:rFonts w:ascii="Arial" w:hAnsi="Arial" w:cs="Arial"/>
                <w:sz w:val="17"/>
                <w:szCs w:val="17"/>
              </w:rPr>
            </w:pPr>
            <w:r w:rsidRPr="00BA272D">
              <w:rPr>
                <w:rFonts w:ascii="Arial" w:hAnsi="Arial" w:cs="Arial"/>
                <w:sz w:val="17"/>
                <w:szCs w:val="17"/>
              </w:rPr>
              <w:t>Lineal</w:t>
            </w:r>
          </w:p>
        </w:tc>
      </w:tr>
      <w:tr w:rsidR="00FB1EEE" w:rsidRPr="00BA272D" w:rsidTr="00F21C61">
        <w:trPr>
          <w:trHeight w:val="240"/>
        </w:trPr>
        <w:tc>
          <w:tcPr>
            <w:tcW w:w="1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1EEE" w:rsidRPr="00BA272D" w:rsidRDefault="00FB1EEE" w:rsidP="00FB1EEE">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8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21,872,290 </w:t>
            </w:r>
          </w:p>
        </w:tc>
        <w:tc>
          <w:tcPr>
            <w:tcW w:w="8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102,064,807 </w:t>
            </w:r>
          </w:p>
        </w:tc>
        <w:tc>
          <w:tcPr>
            <w:tcW w:w="800" w:type="pct"/>
            <w:tcBorders>
              <w:top w:val="single" w:sz="4" w:space="0" w:color="auto"/>
              <w:left w:val="single" w:sz="4" w:space="0" w:color="auto"/>
              <w:bottom w:val="single" w:sz="4" w:space="0" w:color="auto"/>
            </w:tcBorders>
            <w:shd w:val="clear" w:color="auto" w:fill="BFBFBF" w:themeFill="background1" w:themeFillShade="BF"/>
            <w:noWrap/>
            <w:vAlign w:val="bottom"/>
            <w:hideMark/>
          </w:tcPr>
          <w:p w:rsidR="00FB1EEE" w:rsidRPr="00BA272D" w:rsidRDefault="00FB1EEE" w:rsidP="00FB1EEE">
            <w:pPr>
              <w:rPr>
                <w:rFonts w:ascii="Arial" w:hAnsi="Arial" w:cs="Arial"/>
                <w:b/>
                <w:bCs/>
                <w:color w:val="FF0000"/>
                <w:sz w:val="17"/>
                <w:szCs w:val="17"/>
              </w:rPr>
            </w:pPr>
            <w:r w:rsidRPr="00BA272D">
              <w:rPr>
                <w:rFonts w:ascii="Arial" w:hAnsi="Arial" w:cs="Arial"/>
                <w:b/>
                <w:bCs/>
                <w:color w:val="FF0000"/>
                <w:sz w:val="17"/>
                <w:szCs w:val="17"/>
              </w:rPr>
              <w:t> </w:t>
            </w:r>
          </w:p>
        </w:tc>
        <w:tc>
          <w:tcPr>
            <w:tcW w:w="799" w:type="pct"/>
            <w:tcBorders>
              <w:top w:val="single" w:sz="4" w:space="0" w:color="auto"/>
              <w:bottom w:val="single" w:sz="4" w:space="0" w:color="auto"/>
              <w:right w:val="single" w:sz="4" w:space="0" w:color="auto"/>
            </w:tcBorders>
            <w:shd w:val="clear" w:color="auto" w:fill="BFBFBF" w:themeFill="background1" w:themeFillShade="BF"/>
            <w:noWrap/>
            <w:vAlign w:val="bottom"/>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 </w:t>
            </w:r>
          </w:p>
        </w:tc>
      </w:tr>
    </w:tbl>
    <w:p w:rsidR="006B611E" w:rsidRDefault="00D35063" w:rsidP="00D35063">
      <w:pPr>
        <w:spacing w:before="80" w:line="250" w:lineRule="exact"/>
        <w:ind w:firstLine="708"/>
        <w:jc w:val="both"/>
        <w:rPr>
          <w:rFonts w:ascii="Arial" w:eastAsia="Calibri" w:hAnsi="Arial" w:cs="Arial"/>
          <w:spacing w:val="-1"/>
          <w:sz w:val="17"/>
          <w:szCs w:val="17"/>
        </w:rPr>
      </w:pPr>
      <w:r>
        <w:rPr>
          <w:rFonts w:ascii="Arial" w:eastAsia="Calibri" w:hAnsi="Arial" w:cs="Arial"/>
          <w:spacing w:val="-1"/>
          <w:sz w:val="17"/>
          <w:szCs w:val="17"/>
        </w:rPr>
        <w:t xml:space="preserve">  </w:t>
      </w:r>
    </w:p>
    <w:p w:rsidR="00D35063" w:rsidRDefault="006B611E" w:rsidP="00D35063">
      <w:pPr>
        <w:spacing w:before="80" w:line="250" w:lineRule="exact"/>
        <w:ind w:firstLine="708"/>
        <w:jc w:val="both"/>
        <w:rPr>
          <w:rFonts w:ascii="Arial" w:eastAsia="Calibri" w:hAnsi="Arial" w:cs="Arial"/>
          <w:spacing w:val="-1"/>
          <w:sz w:val="17"/>
          <w:szCs w:val="17"/>
        </w:rPr>
      </w:pPr>
      <w:r>
        <w:rPr>
          <w:rFonts w:ascii="Arial" w:eastAsia="Calibri" w:hAnsi="Arial" w:cs="Arial"/>
          <w:spacing w:val="-1"/>
          <w:sz w:val="17"/>
          <w:szCs w:val="17"/>
        </w:rPr>
        <w:t xml:space="preserve">   </w:t>
      </w:r>
      <w:r w:rsidR="00D35063" w:rsidRPr="006B611E">
        <w:rPr>
          <w:rFonts w:ascii="Arial" w:eastAsia="Calibri" w:hAnsi="Arial" w:cs="Arial"/>
          <w:spacing w:val="-1"/>
          <w:sz w:val="17"/>
          <w:szCs w:val="17"/>
        </w:rPr>
        <w:t>Se informa que respecto a la disminución de la amortización de softwa</w:t>
      </w:r>
      <w:r w:rsidRPr="006B611E">
        <w:rPr>
          <w:rFonts w:ascii="Arial" w:eastAsia="Calibri" w:hAnsi="Arial" w:cs="Arial"/>
          <w:spacing w:val="-1"/>
          <w:sz w:val="17"/>
          <w:szCs w:val="17"/>
        </w:rPr>
        <w:t>re se debe a bajas del periodo.</w:t>
      </w:r>
      <w:r w:rsidR="00D35063">
        <w:rPr>
          <w:rFonts w:ascii="Arial" w:eastAsia="Calibri" w:hAnsi="Arial" w:cs="Arial"/>
          <w:spacing w:val="-1"/>
          <w:sz w:val="17"/>
          <w:szCs w:val="17"/>
        </w:rPr>
        <w:tab/>
      </w:r>
    </w:p>
    <w:p w:rsidR="00F71E5C" w:rsidRPr="00BA272D" w:rsidRDefault="00F71E5C" w:rsidP="006E5F33">
      <w:pPr>
        <w:spacing w:before="80" w:line="250" w:lineRule="exact"/>
        <w:ind w:left="851"/>
        <w:jc w:val="both"/>
        <w:rPr>
          <w:rFonts w:ascii="Arial" w:eastAsia="Calibri" w:hAnsi="Arial" w:cs="Arial"/>
          <w:spacing w:val="-1"/>
          <w:sz w:val="17"/>
          <w:szCs w:val="17"/>
        </w:rPr>
      </w:pPr>
      <w:r w:rsidRPr="0090077E">
        <w:rPr>
          <w:rFonts w:ascii="Arial" w:eastAsia="Calibri" w:hAnsi="Arial" w:cs="Arial"/>
          <w:spacing w:val="-1"/>
          <w:sz w:val="17"/>
          <w:szCs w:val="17"/>
        </w:rPr>
        <w:t xml:space="preserve">Se informa el saldo de la cuenta Deterioro Acumulado de Activos Biológicos al </w:t>
      </w:r>
      <w:r w:rsidR="008602D7" w:rsidRPr="0090077E">
        <w:rPr>
          <w:rFonts w:ascii="Arial" w:eastAsia="Calibri" w:hAnsi="Arial" w:cs="Arial"/>
          <w:spacing w:val="-1"/>
          <w:sz w:val="17"/>
          <w:szCs w:val="17"/>
        </w:rPr>
        <w:t>31 de diciembre</w:t>
      </w:r>
      <w:r w:rsidR="00C378B5" w:rsidRPr="0090077E">
        <w:rPr>
          <w:rFonts w:ascii="Arial" w:eastAsia="Calibri" w:hAnsi="Arial" w:cs="Arial"/>
          <w:spacing w:val="-1"/>
          <w:sz w:val="17"/>
          <w:szCs w:val="17"/>
        </w:rPr>
        <w:t xml:space="preserve"> del 2021</w:t>
      </w:r>
      <w:r w:rsidRPr="0090077E">
        <w:rPr>
          <w:rFonts w:ascii="Arial" w:eastAsia="Calibri" w:hAnsi="Arial" w:cs="Arial"/>
          <w:spacing w:val="-1"/>
          <w:sz w:val="17"/>
          <w:szCs w:val="17"/>
        </w:rPr>
        <w:t xml:space="preserve">, es de </w:t>
      </w:r>
      <w:r w:rsidR="009A47F0" w:rsidRPr="0090077E">
        <w:rPr>
          <w:rFonts w:ascii="Arial" w:eastAsia="Calibri" w:hAnsi="Arial" w:cs="Arial"/>
          <w:spacing w:val="-1"/>
          <w:sz w:val="17"/>
          <w:szCs w:val="17"/>
        </w:rPr>
        <w:t>335,9</w:t>
      </w:r>
      <w:r w:rsidR="00B44D15" w:rsidRPr="0090077E">
        <w:rPr>
          <w:rFonts w:ascii="Arial" w:eastAsia="Calibri" w:hAnsi="Arial" w:cs="Arial"/>
          <w:spacing w:val="-1"/>
          <w:sz w:val="17"/>
          <w:szCs w:val="17"/>
        </w:rPr>
        <w:t>54</w:t>
      </w:r>
      <w:r w:rsidR="006B611E">
        <w:rPr>
          <w:rFonts w:ascii="Arial" w:eastAsia="Calibri" w:hAnsi="Arial" w:cs="Arial"/>
          <w:spacing w:val="-1"/>
          <w:sz w:val="17"/>
          <w:szCs w:val="17"/>
        </w:rPr>
        <w:t>.</w:t>
      </w:r>
    </w:p>
    <w:p w:rsidR="00F71E5C" w:rsidRPr="00BA272D" w:rsidRDefault="00F71E5C" w:rsidP="006E5F33">
      <w:pPr>
        <w:spacing w:before="80" w:line="250" w:lineRule="exact"/>
        <w:ind w:left="851"/>
        <w:jc w:val="both"/>
        <w:rPr>
          <w:rFonts w:ascii="Arial" w:eastAsia="Calibri" w:hAnsi="Arial" w:cs="Arial"/>
          <w:spacing w:val="-1"/>
          <w:sz w:val="17"/>
          <w:szCs w:val="17"/>
        </w:rPr>
      </w:pPr>
    </w:p>
    <w:p w:rsidR="00F71E5C" w:rsidRPr="00BA272D" w:rsidRDefault="00F71E5C" w:rsidP="006E5F33">
      <w:pPr>
        <w:pStyle w:val="Prrafodelista"/>
        <w:numPr>
          <w:ilvl w:val="0"/>
          <w:numId w:val="8"/>
        </w:numPr>
        <w:spacing w:before="80" w:line="250" w:lineRule="exact"/>
        <w:ind w:left="851" w:firstLine="0"/>
        <w:contextualSpacing w:val="0"/>
        <w:jc w:val="both"/>
        <w:rPr>
          <w:rFonts w:ascii="Arial" w:eastAsia="Calibri" w:hAnsi="Arial" w:cs="Arial"/>
          <w:b/>
          <w:spacing w:val="-1"/>
          <w:sz w:val="17"/>
          <w:szCs w:val="17"/>
        </w:rPr>
      </w:pPr>
      <w:r w:rsidRPr="00BA272D">
        <w:rPr>
          <w:rFonts w:ascii="Arial" w:eastAsia="Calibri" w:hAnsi="Arial" w:cs="Arial"/>
          <w:b/>
          <w:spacing w:val="-1"/>
          <w:sz w:val="17"/>
          <w:szCs w:val="17"/>
        </w:rPr>
        <w:t>Estimaciones y deterioros</w:t>
      </w:r>
    </w:p>
    <w:p w:rsidR="001F6631" w:rsidRDefault="00F71E5C" w:rsidP="0033043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Se informa que, al cierre del mes de</w:t>
      </w:r>
      <w:r w:rsidR="00375DFF" w:rsidRPr="00BA272D">
        <w:rPr>
          <w:rFonts w:ascii="Arial" w:eastAsia="Calibri" w:hAnsi="Arial" w:cs="Arial"/>
          <w:spacing w:val="-1"/>
          <w:sz w:val="17"/>
          <w:szCs w:val="17"/>
        </w:rPr>
        <w:t xml:space="preserve"> </w:t>
      </w:r>
      <w:r w:rsidR="0090077E">
        <w:rPr>
          <w:rFonts w:ascii="Arial" w:eastAsia="Calibri" w:hAnsi="Arial" w:cs="Arial"/>
          <w:spacing w:val="-1"/>
          <w:sz w:val="17"/>
          <w:szCs w:val="17"/>
        </w:rPr>
        <w:t>diciembre</w:t>
      </w:r>
      <w:r w:rsidRPr="00BA272D">
        <w:rPr>
          <w:rFonts w:ascii="Arial" w:eastAsia="Calibri" w:hAnsi="Arial" w:cs="Arial"/>
          <w:spacing w:val="-1"/>
          <w:sz w:val="17"/>
          <w:szCs w:val="17"/>
        </w:rPr>
        <w:t xml:space="preserve"> del 2021, el saldo del rubro Estimación por Pérdida o Deterioro de Activos no Circulantes es de 0.</w:t>
      </w:r>
    </w:p>
    <w:p w:rsidR="001F6631" w:rsidRPr="00BA272D" w:rsidRDefault="001F6631" w:rsidP="006E5F33">
      <w:pPr>
        <w:spacing w:before="80" w:line="250" w:lineRule="exact"/>
        <w:ind w:left="851" w:right="-1559"/>
        <w:jc w:val="both"/>
        <w:rPr>
          <w:rFonts w:ascii="Arial" w:eastAsia="Calibri" w:hAnsi="Arial" w:cs="Arial"/>
          <w:spacing w:val="-1"/>
          <w:sz w:val="17"/>
          <w:szCs w:val="17"/>
        </w:rPr>
      </w:pPr>
    </w:p>
    <w:p w:rsidR="00F71E5C" w:rsidRDefault="00F71E5C" w:rsidP="006E5F33">
      <w:pPr>
        <w:ind w:left="851"/>
        <w:rPr>
          <w:rFonts w:ascii="Arial" w:eastAsia="Calibri" w:hAnsi="Arial" w:cs="Arial"/>
          <w:b/>
          <w:spacing w:val="-1"/>
          <w:sz w:val="17"/>
          <w:szCs w:val="17"/>
        </w:rPr>
      </w:pPr>
    </w:p>
    <w:p w:rsidR="00DD7A5F" w:rsidRDefault="00DD7A5F" w:rsidP="006E5F33">
      <w:pPr>
        <w:ind w:left="851"/>
        <w:rPr>
          <w:rFonts w:ascii="Arial" w:eastAsia="Calibri" w:hAnsi="Arial" w:cs="Arial"/>
          <w:b/>
          <w:spacing w:val="-1"/>
          <w:sz w:val="17"/>
          <w:szCs w:val="17"/>
        </w:rPr>
      </w:pPr>
    </w:p>
    <w:p w:rsidR="00DD7A5F" w:rsidRPr="00BA272D" w:rsidRDefault="00DD7A5F" w:rsidP="006E5F33">
      <w:pPr>
        <w:ind w:left="851"/>
        <w:rPr>
          <w:rFonts w:ascii="Arial" w:eastAsia="Calibri" w:hAnsi="Arial" w:cs="Arial"/>
          <w:b/>
          <w:spacing w:val="-1"/>
          <w:sz w:val="17"/>
          <w:szCs w:val="17"/>
        </w:rPr>
      </w:pPr>
    </w:p>
    <w:p w:rsidR="00F71E5C" w:rsidRPr="00BA272D" w:rsidRDefault="00F71E5C" w:rsidP="006E5F33">
      <w:pPr>
        <w:pStyle w:val="Prrafodelista"/>
        <w:numPr>
          <w:ilvl w:val="0"/>
          <w:numId w:val="8"/>
        </w:numPr>
        <w:spacing w:before="80" w:line="250" w:lineRule="exact"/>
        <w:ind w:left="851" w:firstLine="0"/>
        <w:contextualSpacing w:val="0"/>
        <w:jc w:val="both"/>
        <w:rPr>
          <w:rFonts w:ascii="Arial" w:eastAsia="Calibri" w:hAnsi="Arial" w:cs="Arial"/>
          <w:spacing w:val="-1"/>
          <w:sz w:val="17"/>
          <w:szCs w:val="17"/>
        </w:rPr>
      </w:pPr>
      <w:r w:rsidRPr="00BA272D">
        <w:rPr>
          <w:rFonts w:ascii="Arial" w:eastAsia="Calibri" w:hAnsi="Arial" w:cs="Arial"/>
          <w:b/>
          <w:spacing w:val="-1"/>
          <w:sz w:val="17"/>
          <w:szCs w:val="17"/>
        </w:rPr>
        <w:lastRenderedPageBreak/>
        <w:t>Otros Activos no Circulantes</w:t>
      </w:r>
    </w:p>
    <w:p w:rsidR="00F71E5C" w:rsidRPr="00BA272D" w:rsidRDefault="00F71E5C" w:rsidP="006E5F33">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por cuenta, el rubro de Otros Activos no Circulantes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5807" w:type="dxa"/>
        <w:jc w:val="center"/>
        <w:tblCellMar>
          <w:left w:w="70" w:type="dxa"/>
          <w:right w:w="70" w:type="dxa"/>
        </w:tblCellMar>
        <w:tblLook w:val="04A0" w:firstRow="1" w:lastRow="0" w:firstColumn="1" w:lastColumn="0" w:noHBand="0" w:noVBand="1"/>
      </w:tblPr>
      <w:tblGrid>
        <w:gridCol w:w="2686"/>
        <w:gridCol w:w="1516"/>
        <w:gridCol w:w="1605"/>
      </w:tblGrid>
      <w:tr w:rsidR="00F71E5C" w:rsidRPr="00BA272D" w:rsidTr="00B636C1">
        <w:trPr>
          <w:trHeight w:val="281"/>
          <w:jc w:val="center"/>
        </w:trPr>
        <w:tc>
          <w:tcPr>
            <w:tcW w:w="2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5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3E0C09" w:rsidRPr="00BA272D" w:rsidTr="00B636C1">
        <w:trPr>
          <w:trHeight w:val="271"/>
          <w:jc w:val="center"/>
        </w:trPr>
        <w:tc>
          <w:tcPr>
            <w:tcW w:w="2686" w:type="dxa"/>
            <w:tcBorders>
              <w:top w:val="nil"/>
              <w:left w:val="single" w:sz="4" w:space="0" w:color="auto"/>
              <w:bottom w:val="single" w:sz="4" w:space="0" w:color="auto"/>
              <w:right w:val="single" w:sz="4" w:space="0" w:color="auto"/>
            </w:tcBorders>
            <w:shd w:val="clear" w:color="auto" w:fill="auto"/>
          </w:tcPr>
          <w:p w:rsidR="003E0C09" w:rsidRPr="00BA272D" w:rsidRDefault="003E0C09" w:rsidP="00B636C1">
            <w:pPr>
              <w:jc w:val="center"/>
              <w:rPr>
                <w:rFonts w:ascii="Arial" w:hAnsi="Arial" w:cs="Arial"/>
                <w:sz w:val="17"/>
                <w:szCs w:val="17"/>
              </w:rPr>
            </w:pPr>
            <w:r w:rsidRPr="00BA272D">
              <w:rPr>
                <w:rFonts w:ascii="Arial" w:hAnsi="Arial" w:cs="Arial"/>
                <w:sz w:val="17"/>
                <w:szCs w:val="17"/>
              </w:rPr>
              <w:t>Bienes Inmuebles en Comodato</w:t>
            </w:r>
          </w:p>
          <w:p w:rsidR="003E0C09" w:rsidRPr="00BA272D" w:rsidRDefault="003E0C09" w:rsidP="00B636C1">
            <w:pPr>
              <w:jc w:val="center"/>
              <w:rPr>
                <w:rFonts w:ascii="Arial" w:hAnsi="Arial" w:cs="Arial"/>
                <w:sz w:val="17"/>
                <w:szCs w:val="17"/>
              </w:rPr>
            </w:pPr>
          </w:p>
        </w:tc>
        <w:tc>
          <w:tcPr>
            <w:tcW w:w="1516" w:type="dxa"/>
            <w:tcBorders>
              <w:top w:val="single" w:sz="4" w:space="0" w:color="auto"/>
              <w:left w:val="nil"/>
              <w:bottom w:val="single" w:sz="4" w:space="0" w:color="auto"/>
              <w:right w:val="single" w:sz="4" w:space="0" w:color="auto"/>
            </w:tcBorders>
            <w:shd w:val="clear" w:color="auto" w:fill="auto"/>
          </w:tcPr>
          <w:p w:rsidR="003E0C09" w:rsidRPr="00BA272D" w:rsidRDefault="003E0C09" w:rsidP="003E0C09">
            <w:pPr>
              <w:jc w:val="right"/>
              <w:rPr>
                <w:rFonts w:ascii="Arial" w:hAnsi="Arial" w:cs="Arial"/>
                <w:sz w:val="17"/>
                <w:szCs w:val="17"/>
              </w:rPr>
            </w:pPr>
            <w:r w:rsidRPr="00BA272D">
              <w:rPr>
                <w:rFonts w:ascii="Arial" w:hAnsi="Arial" w:cs="Arial"/>
                <w:sz w:val="17"/>
                <w:szCs w:val="17"/>
              </w:rPr>
              <w:t xml:space="preserve"> 25,228,736,112 </w:t>
            </w:r>
          </w:p>
        </w:tc>
        <w:tc>
          <w:tcPr>
            <w:tcW w:w="1605" w:type="dxa"/>
            <w:tcBorders>
              <w:top w:val="nil"/>
              <w:left w:val="single" w:sz="4" w:space="0" w:color="auto"/>
              <w:bottom w:val="single" w:sz="4" w:space="0" w:color="auto"/>
              <w:right w:val="single" w:sz="4" w:space="0" w:color="auto"/>
            </w:tcBorders>
            <w:shd w:val="clear" w:color="auto" w:fill="auto"/>
          </w:tcPr>
          <w:p w:rsidR="003E0C09" w:rsidRPr="00BA272D" w:rsidRDefault="003E0C09" w:rsidP="003E0C09">
            <w:pPr>
              <w:jc w:val="right"/>
              <w:rPr>
                <w:rFonts w:ascii="Arial" w:hAnsi="Arial" w:cs="Arial"/>
                <w:sz w:val="17"/>
                <w:szCs w:val="17"/>
              </w:rPr>
            </w:pPr>
            <w:r w:rsidRPr="00BA272D">
              <w:rPr>
                <w:rFonts w:ascii="Arial" w:hAnsi="Arial" w:cs="Arial"/>
                <w:sz w:val="17"/>
                <w:szCs w:val="17"/>
              </w:rPr>
              <w:t xml:space="preserve"> 20,864,417,588 </w:t>
            </w:r>
          </w:p>
        </w:tc>
      </w:tr>
    </w:tbl>
    <w:p w:rsidR="00F71E5C" w:rsidRPr="00BA272D" w:rsidRDefault="00F71E5C" w:rsidP="00F71E5C">
      <w:pPr>
        <w:jc w:val="both"/>
        <w:rPr>
          <w:rFonts w:ascii="Arial" w:eastAsia="Calibri" w:hAnsi="Arial" w:cs="Arial"/>
          <w:spacing w:val="-1"/>
          <w:sz w:val="17"/>
          <w:szCs w:val="17"/>
        </w:rPr>
      </w:pPr>
    </w:p>
    <w:p w:rsidR="00F71E5C" w:rsidRPr="00BA272D" w:rsidRDefault="00F71E5C" w:rsidP="00F71E5C">
      <w:pPr>
        <w:ind w:left="709"/>
        <w:jc w:val="both"/>
        <w:rPr>
          <w:rFonts w:ascii="Arial" w:hAnsi="Arial" w:cs="Arial"/>
          <w:sz w:val="17"/>
          <w:szCs w:val="17"/>
        </w:rPr>
      </w:pPr>
    </w:p>
    <w:p w:rsidR="0037045C" w:rsidRPr="00B636C1" w:rsidRDefault="0037045C" w:rsidP="003B1811">
      <w:pPr>
        <w:spacing w:line="360" w:lineRule="auto"/>
        <w:ind w:left="709"/>
        <w:jc w:val="both"/>
        <w:rPr>
          <w:rFonts w:ascii="Arial" w:hAnsi="Arial" w:cs="Arial"/>
          <w:sz w:val="17"/>
          <w:szCs w:val="17"/>
        </w:rPr>
      </w:pPr>
      <w:r w:rsidRPr="00B636C1">
        <w:rPr>
          <w:rFonts w:ascii="Arial" w:hAnsi="Arial" w:cs="Arial"/>
          <w:sz w:val="17"/>
          <w:szCs w:val="17"/>
        </w:rPr>
        <w:t>El incremento en el concepto de</w:t>
      </w:r>
      <w:r w:rsidR="00B636C1" w:rsidRPr="00B636C1">
        <w:rPr>
          <w:rFonts w:ascii="Arial" w:hAnsi="Arial" w:cs="Arial"/>
          <w:sz w:val="17"/>
          <w:szCs w:val="17"/>
        </w:rPr>
        <w:t xml:space="preserve"> </w:t>
      </w:r>
      <w:r w:rsidR="009D7782" w:rsidRPr="00B636C1">
        <w:rPr>
          <w:rFonts w:ascii="Arial" w:hAnsi="Arial" w:cs="Arial"/>
          <w:sz w:val="17"/>
          <w:szCs w:val="17"/>
        </w:rPr>
        <w:t xml:space="preserve">Bienes Inmuebles en </w:t>
      </w:r>
      <w:r w:rsidRPr="00B636C1">
        <w:rPr>
          <w:rFonts w:ascii="Arial" w:hAnsi="Arial" w:cs="Arial"/>
          <w:sz w:val="17"/>
          <w:szCs w:val="17"/>
        </w:rPr>
        <w:t xml:space="preserve">comodato se debe principalmente </w:t>
      </w:r>
      <w:r w:rsidR="009D7782" w:rsidRPr="00B636C1">
        <w:rPr>
          <w:rFonts w:ascii="Arial" w:hAnsi="Arial" w:cs="Arial"/>
          <w:sz w:val="17"/>
          <w:szCs w:val="17"/>
        </w:rPr>
        <w:t xml:space="preserve">a </w:t>
      </w:r>
      <w:r w:rsidRPr="00B636C1">
        <w:rPr>
          <w:rFonts w:ascii="Arial" w:hAnsi="Arial" w:cs="Arial"/>
          <w:sz w:val="17"/>
          <w:szCs w:val="17"/>
        </w:rPr>
        <w:t xml:space="preserve">la reclasificación </w:t>
      </w:r>
      <w:r w:rsidR="00B636C1" w:rsidRPr="00B636C1">
        <w:rPr>
          <w:rFonts w:ascii="Arial" w:hAnsi="Arial" w:cs="Arial"/>
          <w:sz w:val="17"/>
          <w:szCs w:val="17"/>
        </w:rPr>
        <w:t xml:space="preserve">principalmente </w:t>
      </w:r>
      <w:r w:rsidRPr="00B636C1">
        <w:rPr>
          <w:rFonts w:ascii="Arial" w:hAnsi="Arial" w:cs="Arial"/>
          <w:sz w:val="17"/>
          <w:szCs w:val="17"/>
        </w:rPr>
        <w:t>de</w:t>
      </w:r>
      <w:r w:rsidR="00B636C1" w:rsidRPr="00B636C1">
        <w:rPr>
          <w:rFonts w:ascii="Arial" w:hAnsi="Arial" w:cs="Arial"/>
          <w:sz w:val="17"/>
          <w:szCs w:val="17"/>
        </w:rPr>
        <w:t xml:space="preserve"> siete</w:t>
      </w:r>
      <w:r w:rsidRPr="00B636C1">
        <w:rPr>
          <w:rFonts w:ascii="Arial" w:hAnsi="Arial" w:cs="Arial"/>
          <w:sz w:val="17"/>
          <w:szCs w:val="17"/>
        </w:rPr>
        <w:t xml:space="preserve"> bienes que se tenían registrados en la cuenta</w:t>
      </w:r>
      <w:r w:rsidR="009D7782" w:rsidRPr="00B636C1">
        <w:rPr>
          <w:rFonts w:ascii="Arial" w:hAnsi="Arial" w:cs="Arial"/>
          <w:sz w:val="17"/>
          <w:szCs w:val="17"/>
        </w:rPr>
        <w:t xml:space="preserve"> Edificios no Habitacionales y T</w:t>
      </w:r>
      <w:r w:rsidRPr="00B636C1">
        <w:rPr>
          <w:rFonts w:ascii="Arial" w:hAnsi="Arial" w:cs="Arial"/>
          <w:sz w:val="17"/>
          <w:szCs w:val="17"/>
        </w:rPr>
        <w:t>errenos solicitada por la Dirección de Control Patrimonial</w:t>
      </w:r>
      <w:r w:rsidR="009D7782" w:rsidRPr="00B636C1">
        <w:rPr>
          <w:rFonts w:ascii="Arial" w:hAnsi="Arial" w:cs="Arial"/>
          <w:sz w:val="17"/>
          <w:szCs w:val="17"/>
        </w:rPr>
        <w:t xml:space="preserve"> de la Oficialía Mayor</w:t>
      </w:r>
      <w:r w:rsidR="006B611E">
        <w:rPr>
          <w:rFonts w:ascii="Arial" w:hAnsi="Arial" w:cs="Arial"/>
          <w:sz w:val="17"/>
          <w:szCs w:val="17"/>
        </w:rPr>
        <w:t>.</w:t>
      </w:r>
      <w:r w:rsidR="0033043F">
        <w:rPr>
          <w:rFonts w:ascii="Arial" w:hAnsi="Arial" w:cs="Arial"/>
          <w:sz w:val="17"/>
          <w:szCs w:val="17"/>
        </w:rPr>
        <w:t xml:space="preserve"> por un importe de </w:t>
      </w:r>
      <w:r w:rsidR="0033043F" w:rsidRPr="006B611E">
        <w:rPr>
          <w:rFonts w:ascii="Arial" w:hAnsi="Arial" w:cs="Arial"/>
          <w:sz w:val="17"/>
          <w:szCs w:val="17"/>
        </w:rPr>
        <w:t>$4,364,318,524.</w:t>
      </w:r>
      <w:r w:rsidRPr="00B636C1">
        <w:rPr>
          <w:rFonts w:ascii="Arial" w:hAnsi="Arial" w:cs="Arial"/>
          <w:sz w:val="17"/>
          <w:szCs w:val="17"/>
        </w:rPr>
        <w:t xml:space="preserve"> </w:t>
      </w:r>
    </w:p>
    <w:p w:rsidR="00F71E5C" w:rsidRDefault="00F71E5C" w:rsidP="00F71E5C">
      <w:pPr>
        <w:autoSpaceDE w:val="0"/>
        <w:autoSpaceDN w:val="0"/>
        <w:adjustRightInd w:val="0"/>
        <w:spacing w:before="240" w:after="120"/>
        <w:jc w:val="both"/>
        <w:rPr>
          <w:rFonts w:ascii="Arial" w:hAnsi="Arial" w:cs="Arial"/>
          <w:b/>
          <w:sz w:val="17"/>
          <w:szCs w:val="17"/>
        </w:rPr>
      </w:pPr>
    </w:p>
    <w:p w:rsidR="00B36CD9" w:rsidRDefault="00B36CD9" w:rsidP="00F71E5C">
      <w:pPr>
        <w:autoSpaceDE w:val="0"/>
        <w:autoSpaceDN w:val="0"/>
        <w:adjustRightInd w:val="0"/>
        <w:spacing w:before="240" w:after="120"/>
        <w:jc w:val="both"/>
        <w:rPr>
          <w:rFonts w:ascii="Arial" w:hAnsi="Arial" w:cs="Arial"/>
          <w:b/>
          <w:sz w:val="17"/>
          <w:szCs w:val="17"/>
        </w:rPr>
      </w:pPr>
    </w:p>
    <w:p w:rsidR="00B36CD9" w:rsidRDefault="00B36CD9" w:rsidP="00F71E5C">
      <w:pPr>
        <w:autoSpaceDE w:val="0"/>
        <w:autoSpaceDN w:val="0"/>
        <w:adjustRightInd w:val="0"/>
        <w:spacing w:before="240" w:after="120"/>
        <w:jc w:val="both"/>
        <w:rPr>
          <w:rFonts w:ascii="Arial" w:hAnsi="Arial" w:cs="Arial"/>
          <w:b/>
          <w:sz w:val="17"/>
          <w:szCs w:val="17"/>
        </w:rPr>
      </w:pPr>
    </w:p>
    <w:p w:rsidR="00C70D05" w:rsidRDefault="00C70D05" w:rsidP="00F71E5C">
      <w:pPr>
        <w:autoSpaceDE w:val="0"/>
        <w:autoSpaceDN w:val="0"/>
        <w:adjustRightInd w:val="0"/>
        <w:spacing w:before="240" w:after="120"/>
        <w:jc w:val="both"/>
        <w:rPr>
          <w:rFonts w:ascii="Arial" w:hAnsi="Arial" w:cs="Arial"/>
          <w:b/>
          <w:sz w:val="17"/>
          <w:szCs w:val="17"/>
        </w:rPr>
      </w:pPr>
    </w:p>
    <w:p w:rsidR="00C70D05" w:rsidRDefault="00C70D05" w:rsidP="00F71E5C">
      <w:pPr>
        <w:autoSpaceDE w:val="0"/>
        <w:autoSpaceDN w:val="0"/>
        <w:adjustRightInd w:val="0"/>
        <w:spacing w:before="240" w:after="120"/>
        <w:jc w:val="both"/>
        <w:rPr>
          <w:rFonts w:ascii="Arial" w:hAnsi="Arial" w:cs="Arial"/>
          <w:b/>
          <w:sz w:val="17"/>
          <w:szCs w:val="17"/>
        </w:rPr>
      </w:pPr>
    </w:p>
    <w:p w:rsidR="001F6631" w:rsidRDefault="001F6631"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DD7A5F" w:rsidRDefault="00DD7A5F" w:rsidP="0033043F">
      <w:pPr>
        <w:autoSpaceDE w:val="0"/>
        <w:autoSpaceDN w:val="0"/>
        <w:adjustRightInd w:val="0"/>
        <w:spacing w:before="240" w:after="120"/>
        <w:jc w:val="both"/>
        <w:rPr>
          <w:rFonts w:ascii="Arial" w:hAnsi="Arial" w:cs="Arial"/>
          <w:b/>
          <w:sz w:val="17"/>
          <w:szCs w:val="17"/>
        </w:rPr>
      </w:pPr>
    </w:p>
    <w:p w:rsidR="002858E0" w:rsidRPr="00BA272D" w:rsidRDefault="00C070AD" w:rsidP="00B36CD9">
      <w:pPr>
        <w:autoSpaceDE w:val="0"/>
        <w:autoSpaceDN w:val="0"/>
        <w:adjustRightInd w:val="0"/>
        <w:spacing w:before="240" w:after="120"/>
        <w:ind w:left="851"/>
        <w:jc w:val="both"/>
        <w:rPr>
          <w:rFonts w:ascii="Arial" w:hAnsi="Arial" w:cs="Arial"/>
          <w:b/>
          <w:sz w:val="17"/>
          <w:szCs w:val="17"/>
        </w:rPr>
      </w:pPr>
      <w:r w:rsidRPr="00C070AD">
        <w:rPr>
          <w:rFonts w:ascii="Arial" w:hAnsi="Arial" w:cs="Arial"/>
          <w:b/>
          <w:sz w:val="17"/>
          <w:szCs w:val="17"/>
        </w:rPr>
        <w:lastRenderedPageBreak/>
        <w:t xml:space="preserve">PASIVO </w:t>
      </w:r>
    </w:p>
    <w:p w:rsidR="00F71E5C" w:rsidRPr="00BA272D" w:rsidRDefault="00F71E5C" w:rsidP="00B36CD9">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por cuenta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xml:space="preserve"> del rubro de Cuentas por Pagar a Corto Plazo:</w:t>
      </w:r>
    </w:p>
    <w:p w:rsidR="00F71E5C" w:rsidRPr="00BA272D" w:rsidRDefault="00F71E5C" w:rsidP="00B36CD9">
      <w:pPr>
        <w:autoSpaceDE w:val="0"/>
        <w:autoSpaceDN w:val="0"/>
        <w:adjustRightInd w:val="0"/>
        <w:spacing w:before="240"/>
        <w:ind w:left="851"/>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8395" w:type="dxa"/>
        <w:tblInd w:w="1948" w:type="dxa"/>
        <w:tblCellMar>
          <w:left w:w="70" w:type="dxa"/>
          <w:right w:w="70" w:type="dxa"/>
        </w:tblCellMar>
        <w:tblLook w:val="04A0" w:firstRow="1" w:lastRow="0" w:firstColumn="1" w:lastColumn="0" w:noHBand="0" w:noVBand="1"/>
      </w:tblPr>
      <w:tblGrid>
        <w:gridCol w:w="4568"/>
        <w:gridCol w:w="1984"/>
        <w:gridCol w:w="1843"/>
      </w:tblGrid>
      <w:tr w:rsidR="00F71E5C" w:rsidRPr="00BA272D" w:rsidTr="005C112B">
        <w:trPr>
          <w:trHeight w:val="480"/>
        </w:trPr>
        <w:tc>
          <w:tcPr>
            <w:tcW w:w="4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Servicios Personales por Pagar a Corto Plazo</w:t>
            </w:r>
          </w:p>
        </w:tc>
        <w:tc>
          <w:tcPr>
            <w:tcW w:w="1984"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7,438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Proveedores por Pagar a Corto Plazo</w:t>
            </w:r>
          </w:p>
        </w:tc>
        <w:tc>
          <w:tcPr>
            <w:tcW w:w="1984"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38,181,819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143,008 </w:t>
            </w:r>
          </w:p>
        </w:tc>
      </w:tr>
      <w:tr w:rsidR="00FB1EEE" w:rsidRPr="00BA272D"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Participaciones y Aportaciones por Pagar a Corto Plazo</w:t>
            </w:r>
          </w:p>
        </w:tc>
        <w:tc>
          <w:tcPr>
            <w:tcW w:w="1984"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tabs>
                <w:tab w:val="left" w:pos="1554"/>
              </w:tabs>
              <w:rPr>
                <w:rFonts w:ascii="Arial" w:hAnsi="Arial" w:cs="Arial"/>
                <w:sz w:val="17"/>
                <w:szCs w:val="17"/>
              </w:rPr>
            </w:pPr>
            <w:r w:rsidRPr="00BA272D">
              <w:rPr>
                <w:rFonts w:ascii="Arial" w:hAnsi="Arial" w:cs="Arial"/>
                <w:sz w:val="17"/>
                <w:szCs w:val="17"/>
              </w:rPr>
              <w:t>Retenciones y Contribuciones por Pagar a Corto Plazo</w:t>
            </w:r>
          </w:p>
        </w:tc>
        <w:tc>
          <w:tcPr>
            <w:tcW w:w="1984"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121,096,200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142,530,897 </w:t>
            </w:r>
          </w:p>
        </w:tc>
      </w:tr>
      <w:tr w:rsidR="00FB1EEE" w:rsidRPr="00BA272D" w:rsidTr="005C112B">
        <w:trPr>
          <w:trHeight w:val="240"/>
        </w:trPr>
        <w:tc>
          <w:tcPr>
            <w:tcW w:w="456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Devoluciones de la Ley de Ingresos por Pagar a Corto Plazo</w:t>
            </w:r>
          </w:p>
        </w:tc>
        <w:tc>
          <w:tcPr>
            <w:tcW w:w="1984"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12,508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3,849 </w:t>
            </w:r>
          </w:p>
        </w:tc>
      </w:tr>
      <w:tr w:rsidR="00FB1EEE" w:rsidRPr="00BA272D" w:rsidTr="005C112B">
        <w:trPr>
          <w:trHeight w:val="240"/>
        </w:trPr>
        <w:tc>
          <w:tcPr>
            <w:tcW w:w="4568"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Otras Cuentas por Pagar a Corto Plazo</w:t>
            </w:r>
          </w:p>
        </w:tc>
        <w:tc>
          <w:tcPr>
            <w:tcW w:w="1984"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161,918 </w:t>
            </w:r>
          </w:p>
        </w:tc>
        <w:tc>
          <w:tcPr>
            <w:tcW w:w="1843"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18,242,888 </w:t>
            </w:r>
          </w:p>
        </w:tc>
      </w:tr>
      <w:tr w:rsidR="00FB1EEE" w:rsidRPr="00BA272D" w:rsidTr="005C112B">
        <w:trPr>
          <w:trHeight w:val="240"/>
        </w:trPr>
        <w:tc>
          <w:tcPr>
            <w:tcW w:w="4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EEE" w:rsidRPr="00BA272D" w:rsidRDefault="00FB1EEE" w:rsidP="00FB1EEE">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159,459,883 </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160,920,642 </w:t>
            </w:r>
          </w:p>
        </w:tc>
      </w:tr>
    </w:tbl>
    <w:p w:rsidR="00CA0F7B" w:rsidRPr="00BA272D" w:rsidRDefault="00CA0F7B" w:rsidP="00F71E5C">
      <w:pPr>
        <w:spacing w:before="80" w:line="250" w:lineRule="exact"/>
        <w:ind w:left="708"/>
        <w:jc w:val="both"/>
        <w:rPr>
          <w:rFonts w:ascii="Arial" w:eastAsia="Calibri" w:hAnsi="Arial" w:cs="Arial"/>
          <w:spacing w:val="-1"/>
          <w:sz w:val="17"/>
          <w:szCs w:val="17"/>
        </w:rPr>
      </w:pPr>
    </w:p>
    <w:p w:rsidR="00F71E5C" w:rsidRPr="00BA272D" w:rsidRDefault="00F71E5C" w:rsidP="005C112B">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 xml:space="preserve">Dentro de la cuenta Retenciones y Contribuciones por Pagar a Corto Plazo destacan </w:t>
      </w:r>
      <w:r w:rsidR="00D20242" w:rsidRPr="00BA272D">
        <w:rPr>
          <w:rFonts w:ascii="Arial" w:eastAsia="Calibri" w:hAnsi="Arial" w:cs="Arial"/>
          <w:spacing w:val="-1"/>
          <w:sz w:val="17"/>
          <w:szCs w:val="17"/>
        </w:rPr>
        <w:t>el de</w:t>
      </w:r>
      <w:r w:rsidRPr="00BA272D">
        <w:rPr>
          <w:rFonts w:ascii="Arial" w:eastAsia="Calibri" w:hAnsi="Arial" w:cs="Arial"/>
          <w:spacing w:val="-1"/>
          <w:sz w:val="17"/>
          <w:szCs w:val="17"/>
        </w:rPr>
        <w:t>cremento en Retenciones de Impuestos por Pagar a Corto Plazo</w:t>
      </w:r>
      <w:r w:rsidR="00135F33" w:rsidRPr="00BA272D">
        <w:rPr>
          <w:rFonts w:ascii="Arial" w:eastAsia="Calibri" w:hAnsi="Arial" w:cs="Arial"/>
          <w:spacing w:val="-1"/>
          <w:sz w:val="17"/>
          <w:szCs w:val="17"/>
        </w:rPr>
        <w:t>.</w:t>
      </w:r>
    </w:p>
    <w:p w:rsidR="00F71E5C" w:rsidRPr="00BA272D" w:rsidRDefault="00135F33" w:rsidP="005C112B">
      <w:pPr>
        <w:spacing w:before="80" w:line="250" w:lineRule="exact"/>
        <w:ind w:left="851" w:right="-1559"/>
        <w:jc w:val="both"/>
        <w:rPr>
          <w:rFonts w:ascii="Arial" w:hAnsi="Arial" w:cs="Arial"/>
          <w:sz w:val="17"/>
          <w:szCs w:val="17"/>
        </w:rPr>
      </w:pPr>
      <w:r w:rsidRPr="00BA272D">
        <w:rPr>
          <w:rFonts w:ascii="Arial" w:eastAsia="Calibri" w:hAnsi="Arial" w:cs="Arial"/>
          <w:spacing w:val="-1"/>
          <w:sz w:val="17"/>
          <w:szCs w:val="17"/>
        </w:rPr>
        <w:t>El de</w:t>
      </w:r>
      <w:r w:rsidR="00F71E5C" w:rsidRPr="00BA272D">
        <w:rPr>
          <w:rFonts w:ascii="Arial" w:eastAsia="Calibri" w:hAnsi="Arial" w:cs="Arial"/>
          <w:spacing w:val="-1"/>
          <w:sz w:val="17"/>
          <w:szCs w:val="17"/>
        </w:rPr>
        <w:t xml:space="preserve">cremento en </w:t>
      </w:r>
      <w:r w:rsidR="00F71E5C" w:rsidRPr="00BA272D">
        <w:rPr>
          <w:rFonts w:ascii="Arial" w:hAnsi="Arial" w:cs="Arial"/>
          <w:sz w:val="17"/>
          <w:szCs w:val="17"/>
        </w:rPr>
        <w:t>Otras Cuentas por Pagar a Corto Plazo corresponde principalmente a</w:t>
      </w:r>
      <w:r w:rsidR="00CA0F7B" w:rsidRPr="00BA272D">
        <w:rPr>
          <w:rFonts w:ascii="Arial" w:hAnsi="Arial" w:cs="Arial"/>
          <w:sz w:val="17"/>
          <w:szCs w:val="17"/>
        </w:rPr>
        <w:t xml:space="preserve"> </w:t>
      </w:r>
      <w:r w:rsidRPr="00BA272D">
        <w:rPr>
          <w:rFonts w:ascii="Arial" w:hAnsi="Arial" w:cs="Arial"/>
          <w:sz w:val="17"/>
          <w:szCs w:val="17"/>
        </w:rPr>
        <w:t>reintegros de recursos federales</w:t>
      </w:r>
      <w:r w:rsidR="00CA0F7B" w:rsidRPr="00BA272D">
        <w:rPr>
          <w:rFonts w:ascii="Arial" w:hAnsi="Arial" w:cs="Arial"/>
          <w:sz w:val="17"/>
          <w:szCs w:val="17"/>
        </w:rPr>
        <w:t>.</w:t>
      </w:r>
    </w:p>
    <w:p w:rsidR="005423C3" w:rsidRDefault="005423C3" w:rsidP="00F71E5C">
      <w:pPr>
        <w:spacing w:before="80" w:line="250" w:lineRule="exact"/>
        <w:ind w:left="709"/>
        <w:jc w:val="both"/>
        <w:rPr>
          <w:rFonts w:ascii="Arial" w:eastAsia="Calibri" w:hAnsi="Arial" w:cs="Arial"/>
          <w:spacing w:val="-1"/>
          <w:sz w:val="17"/>
          <w:szCs w:val="17"/>
        </w:rPr>
      </w:pPr>
    </w:p>
    <w:p w:rsidR="00F71E5C" w:rsidRPr="00BA272D" w:rsidRDefault="00F71E5C" w:rsidP="005C112B">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Se presenta la integración de la cuenta Proveedores por Pagar a Corto Plazo:</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5382" w:type="dxa"/>
        <w:jc w:val="center"/>
        <w:tblCellMar>
          <w:left w:w="70" w:type="dxa"/>
          <w:right w:w="70" w:type="dxa"/>
        </w:tblCellMar>
        <w:tblLook w:val="04A0" w:firstRow="1" w:lastRow="0" w:firstColumn="1" w:lastColumn="0" w:noHBand="0" w:noVBand="1"/>
      </w:tblPr>
      <w:tblGrid>
        <w:gridCol w:w="3397"/>
        <w:gridCol w:w="1985"/>
      </w:tblGrid>
      <w:tr w:rsidR="00F71E5C" w:rsidRPr="00BA272D" w:rsidTr="00225CFC">
        <w:trPr>
          <w:trHeight w:val="125"/>
          <w:jc w:val="center"/>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r>
      <w:tr w:rsidR="000A2EAF" w:rsidRPr="00BA272D" w:rsidTr="00225CFC">
        <w:trPr>
          <w:trHeight w:val="240"/>
          <w:jc w:val="center"/>
        </w:trPr>
        <w:tc>
          <w:tcPr>
            <w:tcW w:w="3397" w:type="dxa"/>
            <w:tcBorders>
              <w:top w:val="nil"/>
              <w:left w:val="single" w:sz="4" w:space="0" w:color="auto"/>
              <w:bottom w:val="single" w:sz="4" w:space="0" w:color="auto"/>
              <w:right w:val="single" w:sz="4" w:space="0" w:color="auto"/>
            </w:tcBorders>
            <w:shd w:val="clear" w:color="auto" w:fill="auto"/>
          </w:tcPr>
          <w:p w:rsidR="000A2EAF" w:rsidRPr="00BA272D" w:rsidRDefault="000A2EAF" w:rsidP="00F71E5C">
            <w:pPr>
              <w:rPr>
                <w:rFonts w:ascii="Arial" w:hAnsi="Arial" w:cs="Arial"/>
                <w:sz w:val="17"/>
                <w:szCs w:val="17"/>
              </w:rPr>
            </w:pPr>
            <w:r w:rsidRPr="00BA272D">
              <w:rPr>
                <w:rFonts w:ascii="Arial" w:hAnsi="Arial" w:cs="Arial"/>
                <w:sz w:val="17"/>
                <w:szCs w:val="17"/>
              </w:rPr>
              <w:t>Proveedores</w:t>
            </w:r>
          </w:p>
        </w:tc>
        <w:tc>
          <w:tcPr>
            <w:tcW w:w="1985" w:type="dxa"/>
            <w:tcBorders>
              <w:top w:val="single" w:sz="4" w:space="0" w:color="auto"/>
              <w:left w:val="nil"/>
              <w:bottom w:val="single" w:sz="4" w:space="0" w:color="auto"/>
              <w:right w:val="single" w:sz="4" w:space="0" w:color="auto"/>
            </w:tcBorders>
            <w:shd w:val="clear" w:color="auto" w:fill="auto"/>
          </w:tcPr>
          <w:p w:rsidR="000A2EAF" w:rsidRPr="00BA272D" w:rsidRDefault="003E0C09" w:rsidP="00F71E5C">
            <w:pPr>
              <w:jc w:val="right"/>
              <w:rPr>
                <w:rFonts w:ascii="Arial" w:hAnsi="Arial" w:cs="Arial"/>
                <w:sz w:val="17"/>
                <w:szCs w:val="17"/>
              </w:rPr>
            </w:pPr>
            <w:r w:rsidRPr="00BA272D">
              <w:rPr>
                <w:rFonts w:ascii="Arial" w:hAnsi="Arial" w:cs="Arial"/>
                <w:sz w:val="17"/>
                <w:szCs w:val="17"/>
              </w:rPr>
              <w:t>36,942,807</w:t>
            </w:r>
          </w:p>
        </w:tc>
      </w:tr>
      <w:tr w:rsidR="00F71E5C" w:rsidRPr="00BA272D" w:rsidTr="00225CFC">
        <w:trPr>
          <w:trHeight w:val="240"/>
          <w:jc w:val="center"/>
        </w:trPr>
        <w:tc>
          <w:tcPr>
            <w:tcW w:w="3397" w:type="dxa"/>
            <w:tcBorders>
              <w:top w:val="nil"/>
              <w:left w:val="single" w:sz="4" w:space="0" w:color="auto"/>
              <w:bottom w:val="single" w:sz="4" w:space="0" w:color="auto"/>
              <w:right w:val="single" w:sz="4" w:space="0" w:color="auto"/>
            </w:tcBorders>
            <w:shd w:val="clear" w:color="auto" w:fill="auto"/>
          </w:tcPr>
          <w:p w:rsidR="00F71E5C" w:rsidRPr="00BA272D" w:rsidRDefault="00CA0F7B" w:rsidP="00F71E5C">
            <w:pPr>
              <w:rPr>
                <w:rFonts w:ascii="Arial" w:hAnsi="Arial" w:cs="Arial"/>
                <w:sz w:val="17"/>
                <w:szCs w:val="17"/>
              </w:rPr>
            </w:pPr>
            <w:r w:rsidRPr="00BA272D">
              <w:rPr>
                <w:rFonts w:ascii="Arial" w:hAnsi="Arial" w:cs="Arial"/>
                <w:sz w:val="17"/>
                <w:szCs w:val="17"/>
              </w:rPr>
              <w:t>Cheques pagados y no cobrados</w:t>
            </w:r>
          </w:p>
        </w:tc>
        <w:tc>
          <w:tcPr>
            <w:tcW w:w="1985" w:type="dxa"/>
            <w:tcBorders>
              <w:top w:val="single" w:sz="4" w:space="0" w:color="auto"/>
              <w:left w:val="nil"/>
              <w:bottom w:val="single" w:sz="4" w:space="0" w:color="auto"/>
              <w:right w:val="single" w:sz="4" w:space="0" w:color="auto"/>
            </w:tcBorders>
            <w:shd w:val="clear" w:color="auto" w:fill="auto"/>
          </w:tcPr>
          <w:p w:rsidR="00F71E5C" w:rsidRPr="00BA272D" w:rsidRDefault="003E0C09" w:rsidP="00F71E5C">
            <w:pPr>
              <w:jc w:val="right"/>
              <w:rPr>
                <w:rFonts w:ascii="Arial" w:hAnsi="Arial" w:cs="Arial"/>
                <w:sz w:val="17"/>
                <w:szCs w:val="17"/>
              </w:rPr>
            </w:pPr>
            <w:r w:rsidRPr="00BA272D">
              <w:rPr>
                <w:rFonts w:ascii="Arial" w:hAnsi="Arial" w:cs="Arial"/>
                <w:sz w:val="17"/>
                <w:szCs w:val="17"/>
              </w:rPr>
              <w:t>912,566</w:t>
            </w:r>
          </w:p>
        </w:tc>
      </w:tr>
      <w:tr w:rsidR="00F71E5C" w:rsidRPr="00BA272D" w:rsidTr="00225CFC">
        <w:trPr>
          <w:trHeight w:val="24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rsidR="00F71E5C" w:rsidRPr="00BA272D" w:rsidRDefault="00F71E5C" w:rsidP="00F71E5C">
            <w:pPr>
              <w:rPr>
                <w:rFonts w:ascii="Arial" w:hAnsi="Arial" w:cs="Arial"/>
                <w:sz w:val="17"/>
                <w:szCs w:val="17"/>
              </w:rPr>
            </w:pPr>
            <w:r w:rsidRPr="00BA272D">
              <w:rPr>
                <w:rFonts w:ascii="Arial" w:hAnsi="Arial" w:cs="Arial"/>
                <w:sz w:val="17"/>
                <w:szCs w:val="17"/>
              </w:rPr>
              <w:t>Venta de libros Secretaría de la Cultura</w:t>
            </w:r>
          </w:p>
        </w:tc>
        <w:tc>
          <w:tcPr>
            <w:tcW w:w="1985" w:type="dxa"/>
            <w:tcBorders>
              <w:top w:val="single" w:sz="4" w:space="0" w:color="auto"/>
              <w:left w:val="nil"/>
              <w:bottom w:val="single" w:sz="4" w:space="0" w:color="auto"/>
              <w:right w:val="single" w:sz="4" w:space="0" w:color="auto"/>
            </w:tcBorders>
            <w:shd w:val="clear" w:color="auto" w:fill="auto"/>
          </w:tcPr>
          <w:p w:rsidR="00F71E5C" w:rsidRPr="00BA272D" w:rsidRDefault="003E0C09" w:rsidP="00F71E5C">
            <w:pPr>
              <w:jc w:val="right"/>
              <w:rPr>
                <w:rFonts w:ascii="Arial" w:hAnsi="Arial" w:cs="Arial"/>
                <w:sz w:val="17"/>
                <w:szCs w:val="17"/>
              </w:rPr>
            </w:pPr>
            <w:r w:rsidRPr="00BA272D">
              <w:rPr>
                <w:rFonts w:ascii="Arial" w:hAnsi="Arial" w:cs="Arial"/>
                <w:sz w:val="17"/>
                <w:szCs w:val="17"/>
              </w:rPr>
              <w:t>326,446</w:t>
            </w:r>
          </w:p>
        </w:tc>
      </w:tr>
      <w:tr w:rsidR="00F71E5C" w:rsidRPr="00BA272D" w:rsidTr="00225CFC">
        <w:trPr>
          <w:trHeight w:val="240"/>
          <w:jc w:val="center"/>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E5C" w:rsidRPr="00BA272D" w:rsidRDefault="003E0C09" w:rsidP="00F71E5C">
            <w:pPr>
              <w:jc w:val="right"/>
              <w:rPr>
                <w:rFonts w:ascii="Arial" w:hAnsi="Arial" w:cs="Arial"/>
                <w:b/>
                <w:sz w:val="17"/>
                <w:szCs w:val="17"/>
              </w:rPr>
            </w:pPr>
            <w:r w:rsidRPr="00BA272D">
              <w:rPr>
                <w:rFonts w:ascii="Arial" w:hAnsi="Arial" w:cs="Arial"/>
                <w:b/>
                <w:sz w:val="17"/>
                <w:szCs w:val="17"/>
              </w:rPr>
              <w:t>38,181,819</w:t>
            </w:r>
          </w:p>
        </w:tc>
      </w:tr>
    </w:tbl>
    <w:p w:rsidR="000A2EAF" w:rsidRPr="00BA272D" w:rsidRDefault="000A2EAF" w:rsidP="000A2EAF">
      <w:pPr>
        <w:spacing w:before="80" w:line="250" w:lineRule="exact"/>
        <w:ind w:firstLine="708"/>
        <w:jc w:val="both"/>
        <w:rPr>
          <w:rFonts w:ascii="Arial" w:eastAsia="Calibri" w:hAnsi="Arial" w:cs="Arial"/>
          <w:spacing w:val="-1"/>
          <w:sz w:val="17"/>
          <w:szCs w:val="17"/>
        </w:rPr>
      </w:pPr>
    </w:p>
    <w:p w:rsidR="00F71E5C" w:rsidRPr="005423C3" w:rsidRDefault="005423C3" w:rsidP="003B1811">
      <w:pPr>
        <w:spacing w:before="80" w:line="240" w:lineRule="exact"/>
        <w:ind w:left="851"/>
        <w:jc w:val="both"/>
        <w:rPr>
          <w:rFonts w:ascii="Calibri" w:hAnsi="Calibri" w:cs="Calibri"/>
          <w:b/>
          <w:bCs/>
          <w:color w:val="000000"/>
          <w:sz w:val="22"/>
          <w:szCs w:val="22"/>
        </w:rPr>
      </w:pPr>
      <w:r>
        <w:rPr>
          <w:rFonts w:ascii="Arial" w:eastAsia="Calibri" w:hAnsi="Arial" w:cs="Arial"/>
          <w:spacing w:val="-1"/>
          <w:sz w:val="17"/>
          <w:szCs w:val="17"/>
        </w:rPr>
        <w:t xml:space="preserve">Existe un decremento en </w:t>
      </w:r>
      <w:r w:rsidR="00F71E5C" w:rsidRPr="00BA272D">
        <w:rPr>
          <w:rFonts w:ascii="Arial" w:eastAsia="Calibri" w:hAnsi="Arial" w:cs="Arial"/>
          <w:spacing w:val="-1"/>
          <w:sz w:val="17"/>
          <w:szCs w:val="17"/>
        </w:rPr>
        <w:t>el</w:t>
      </w:r>
      <w:r w:rsidR="00D26836">
        <w:rPr>
          <w:rFonts w:ascii="Arial" w:eastAsia="Calibri" w:hAnsi="Arial" w:cs="Arial"/>
          <w:spacing w:val="-1"/>
          <w:sz w:val="17"/>
          <w:szCs w:val="17"/>
        </w:rPr>
        <w:t xml:space="preserve"> Pasivo C</w:t>
      </w:r>
      <w:r w:rsidR="00F71E5C" w:rsidRPr="00BA272D">
        <w:rPr>
          <w:rFonts w:ascii="Arial" w:eastAsia="Calibri" w:hAnsi="Arial" w:cs="Arial"/>
          <w:spacing w:val="-1"/>
          <w:sz w:val="17"/>
          <w:szCs w:val="17"/>
        </w:rPr>
        <w:t xml:space="preserve">irculante </w:t>
      </w:r>
      <w:r>
        <w:rPr>
          <w:rFonts w:ascii="Arial" w:eastAsia="Calibri" w:hAnsi="Arial" w:cs="Arial"/>
          <w:spacing w:val="-1"/>
          <w:sz w:val="17"/>
          <w:szCs w:val="17"/>
        </w:rPr>
        <w:t xml:space="preserve">en el rubro de </w:t>
      </w:r>
      <w:r w:rsidRPr="005423C3">
        <w:rPr>
          <w:rFonts w:ascii="Arial" w:eastAsia="Calibri" w:hAnsi="Arial" w:cs="Arial"/>
          <w:spacing w:val="-1"/>
          <w:sz w:val="17"/>
          <w:szCs w:val="17"/>
        </w:rPr>
        <w:t>Porción a Corto Plazo de la Deuda Pública Interna</w:t>
      </w:r>
      <w:r>
        <w:rPr>
          <w:rFonts w:ascii="Arial" w:eastAsia="Calibri" w:hAnsi="Arial" w:cs="Arial"/>
          <w:spacing w:val="-1"/>
          <w:sz w:val="17"/>
          <w:szCs w:val="17"/>
        </w:rPr>
        <w:t xml:space="preserve">, </w:t>
      </w:r>
      <w:r w:rsidR="00D26836">
        <w:rPr>
          <w:rFonts w:ascii="Arial" w:eastAsia="Calibri" w:hAnsi="Arial" w:cs="Arial"/>
          <w:spacing w:val="-1"/>
          <w:sz w:val="17"/>
          <w:szCs w:val="17"/>
        </w:rPr>
        <w:t>por la</w:t>
      </w:r>
      <w:r w:rsidR="00F71E5C" w:rsidRPr="00BA272D">
        <w:rPr>
          <w:rFonts w:ascii="Arial" w:eastAsia="Calibri" w:hAnsi="Arial" w:cs="Arial"/>
          <w:spacing w:val="-1"/>
          <w:sz w:val="17"/>
          <w:szCs w:val="17"/>
        </w:rPr>
        <w:t xml:space="preserve"> liquidación de la deuda pública</w:t>
      </w:r>
      <w:r w:rsidR="00C61E88">
        <w:rPr>
          <w:rFonts w:ascii="Arial" w:eastAsia="Calibri" w:hAnsi="Arial" w:cs="Arial"/>
          <w:spacing w:val="-1"/>
          <w:sz w:val="17"/>
          <w:szCs w:val="17"/>
        </w:rPr>
        <w:t xml:space="preserve"> en este ejercicio fiscal 2021</w:t>
      </w:r>
      <w:r w:rsidR="00D16090">
        <w:rPr>
          <w:rFonts w:ascii="Arial" w:eastAsia="Calibri" w:hAnsi="Arial" w:cs="Arial"/>
          <w:spacing w:val="-1"/>
          <w:sz w:val="17"/>
          <w:szCs w:val="17"/>
        </w:rPr>
        <w:t>:</w:t>
      </w:r>
    </w:p>
    <w:p w:rsidR="00135F33" w:rsidRDefault="00135F33" w:rsidP="000A2EAF">
      <w:pPr>
        <w:spacing w:before="80" w:line="250" w:lineRule="exact"/>
        <w:ind w:left="708"/>
        <w:jc w:val="both"/>
        <w:rPr>
          <w:rFonts w:ascii="Arial" w:eastAsia="Calibri" w:hAnsi="Arial" w:cs="Arial"/>
          <w:spacing w:val="-1"/>
          <w:sz w:val="17"/>
          <w:szCs w:val="17"/>
        </w:rPr>
      </w:pPr>
    </w:p>
    <w:tbl>
      <w:tblPr>
        <w:tblpPr w:leftFromText="141" w:rightFromText="141" w:vertAnchor="text" w:horzAnchor="margin" w:tblpXSpec="center" w:tblpY="112"/>
        <w:tblW w:w="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0"/>
        <w:gridCol w:w="1200"/>
        <w:gridCol w:w="1360"/>
      </w:tblGrid>
      <w:tr w:rsidR="00D16090" w:rsidRPr="00D16090" w:rsidTr="001F6631">
        <w:trPr>
          <w:trHeight w:val="300"/>
        </w:trPr>
        <w:tc>
          <w:tcPr>
            <w:tcW w:w="3880" w:type="dxa"/>
            <w:shd w:val="clear" w:color="000000" w:fill="BFBFBF"/>
            <w:vAlign w:val="center"/>
            <w:hideMark/>
          </w:tcPr>
          <w:p w:rsidR="00D16090" w:rsidRPr="00D16090" w:rsidRDefault="00D16090" w:rsidP="00D16090">
            <w:pPr>
              <w:jc w:val="center"/>
              <w:rPr>
                <w:rFonts w:ascii="Arial" w:hAnsi="Arial" w:cs="Arial"/>
                <w:b/>
                <w:bCs/>
                <w:color w:val="000000"/>
                <w:sz w:val="17"/>
                <w:szCs w:val="17"/>
              </w:rPr>
            </w:pPr>
            <w:r w:rsidRPr="00D16090">
              <w:rPr>
                <w:rFonts w:ascii="Arial" w:hAnsi="Arial" w:cs="Arial"/>
                <w:b/>
                <w:bCs/>
                <w:color w:val="000000"/>
                <w:sz w:val="17"/>
                <w:szCs w:val="17"/>
              </w:rPr>
              <w:t>Cuenta</w:t>
            </w:r>
          </w:p>
        </w:tc>
        <w:tc>
          <w:tcPr>
            <w:tcW w:w="1200" w:type="dxa"/>
            <w:shd w:val="clear" w:color="000000" w:fill="BFBFBF"/>
            <w:vAlign w:val="center"/>
            <w:hideMark/>
          </w:tcPr>
          <w:p w:rsidR="00D16090" w:rsidRPr="00D16090" w:rsidRDefault="00D16090" w:rsidP="00D16090">
            <w:pPr>
              <w:jc w:val="center"/>
              <w:rPr>
                <w:rFonts w:ascii="Arial" w:hAnsi="Arial" w:cs="Arial"/>
                <w:b/>
                <w:bCs/>
                <w:color w:val="000000"/>
                <w:sz w:val="17"/>
                <w:szCs w:val="17"/>
              </w:rPr>
            </w:pPr>
            <w:r w:rsidRPr="00D16090">
              <w:rPr>
                <w:rFonts w:ascii="Arial" w:hAnsi="Arial" w:cs="Arial"/>
                <w:b/>
                <w:bCs/>
                <w:color w:val="000000"/>
                <w:sz w:val="17"/>
                <w:szCs w:val="17"/>
              </w:rPr>
              <w:t>2021</w:t>
            </w:r>
          </w:p>
        </w:tc>
        <w:tc>
          <w:tcPr>
            <w:tcW w:w="1360" w:type="dxa"/>
            <w:shd w:val="clear" w:color="000000" w:fill="BFBFBF"/>
            <w:vAlign w:val="center"/>
            <w:hideMark/>
          </w:tcPr>
          <w:p w:rsidR="00D16090" w:rsidRPr="00D16090" w:rsidRDefault="00D16090" w:rsidP="00D16090">
            <w:pPr>
              <w:jc w:val="center"/>
              <w:rPr>
                <w:rFonts w:ascii="Arial" w:hAnsi="Arial" w:cs="Arial"/>
                <w:b/>
                <w:bCs/>
                <w:color w:val="000000"/>
                <w:sz w:val="17"/>
                <w:szCs w:val="17"/>
              </w:rPr>
            </w:pPr>
            <w:r w:rsidRPr="00D16090">
              <w:rPr>
                <w:rFonts w:ascii="Arial" w:hAnsi="Arial" w:cs="Arial"/>
                <w:b/>
                <w:bCs/>
                <w:color w:val="000000"/>
                <w:sz w:val="17"/>
                <w:szCs w:val="17"/>
              </w:rPr>
              <w:t>2020</w:t>
            </w:r>
          </w:p>
        </w:tc>
      </w:tr>
      <w:tr w:rsidR="00D16090" w:rsidRPr="00D16090" w:rsidTr="001F6631">
        <w:trPr>
          <w:trHeight w:val="300"/>
        </w:trPr>
        <w:tc>
          <w:tcPr>
            <w:tcW w:w="3880" w:type="dxa"/>
            <w:shd w:val="clear" w:color="auto" w:fill="auto"/>
            <w:vAlign w:val="center"/>
            <w:hideMark/>
          </w:tcPr>
          <w:p w:rsidR="00D16090" w:rsidRPr="00D16090" w:rsidRDefault="00D16090" w:rsidP="00D16090">
            <w:pPr>
              <w:rPr>
                <w:rFonts w:ascii="Arial" w:hAnsi="Arial" w:cs="Arial"/>
                <w:color w:val="000000"/>
                <w:sz w:val="17"/>
                <w:szCs w:val="17"/>
              </w:rPr>
            </w:pPr>
            <w:r w:rsidRPr="00D16090">
              <w:rPr>
                <w:rFonts w:ascii="Arial" w:hAnsi="Arial" w:cs="Arial"/>
                <w:color w:val="000000"/>
                <w:sz w:val="17"/>
                <w:szCs w:val="17"/>
              </w:rPr>
              <w:t>Porción a Corto Plazo de la Deuda Pública Interna</w:t>
            </w:r>
          </w:p>
        </w:tc>
        <w:tc>
          <w:tcPr>
            <w:tcW w:w="1200" w:type="dxa"/>
            <w:shd w:val="clear" w:color="auto" w:fill="auto"/>
            <w:vAlign w:val="center"/>
            <w:hideMark/>
          </w:tcPr>
          <w:p w:rsidR="00D16090" w:rsidRPr="00D16090" w:rsidRDefault="001F6631" w:rsidP="00D16090">
            <w:pPr>
              <w:jc w:val="right"/>
              <w:rPr>
                <w:rFonts w:ascii="Arial" w:hAnsi="Arial" w:cs="Arial"/>
                <w:color w:val="000000"/>
                <w:sz w:val="17"/>
                <w:szCs w:val="17"/>
              </w:rPr>
            </w:pPr>
            <w:r>
              <w:rPr>
                <w:rFonts w:ascii="Arial" w:hAnsi="Arial" w:cs="Arial"/>
                <w:color w:val="000000"/>
                <w:sz w:val="17"/>
                <w:szCs w:val="17"/>
              </w:rPr>
              <w:t>-</w:t>
            </w:r>
          </w:p>
        </w:tc>
        <w:tc>
          <w:tcPr>
            <w:tcW w:w="1360" w:type="dxa"/>
            <w:shd w:val="clear" w:color="auto" w:fill="auto"/>
            <w:vAlign w:val="center"/>
            <w:hideMark/>
          </w:tcPr>
          <w:p w:rsidR="00D16090" w:rsidRPr="00D16090" w:rsidRDefault="00D16090" w:rsidP="00D16090">
            <w:pPr>
              <w:jc w:val="right"/>
              <w:rPr>
                <w:rFonts w:ascii="Arial" w:hAnsi="Arial" w:cs="Arial"/>
                <w:color w:val="000000"/>
                <w:sz w:val="17"/>
                <w:szCs w:val="17"/>
              </w:rPr>
            </w:pPr>
            <w:r w:rsidRPr="00D16090">
              <w:rPr>
                <w:rFonts w:ascii="Arial" w:hAnsi="Arial" w:cs="Arial"/>
                <w:color w:val="000000"/>
                <w:sz w:val="17"/>
                <w:szCs w:val="17"/>
              </w:rPr>
              <w:t>92,349,380</w:t>
            </w:r>
          </w:p>
        </w:tc>
      </w:tr>
    </w:tbl>
    <w:p w:rsidR="00D16090" w:rsidRDefault="00D16090" w:rsidP="000A2EAF">
      <w:pPr>
        <w:spacing w:before="80" w:line="250" w:lineRule="exact"/>
        <w:ind w:left="708"/>
        <w:jc w:val="both"/>
        <w:rPr>
          <w:rFonts w:ascii="Calibri" w:eastAsia="Calibri" w:hAnsi="Calibri"/>
          <w:sz w:val="20"/>
          <w:szCs w:val="20"/>
        </w:rPr>
      </w:pPr>
      <w:r>
        <w:rPr>
          <w:rFonts w:eastAsia="Calibri"/>
        </w:rPr>
        <w:fldChar w:fldCharType="begin"/>
      </w:r>
      <w:r>
        <w:rPr>
          <w:rFonts w:eastAsia="Calibri"/>
        </w:rPr>
        <w:instrText xml:space="preserve"> LINK Excel.Sheet.12 "C:\\Users\\aoviedot\\Desktop\\Dirección Contabilidad 2021 - 2028\\Estados Financieros\\2021\\Diciembre\\BALANZA DEFINITIVA DICIEMBRE DE 2021.xlsx" "Hoja6!F17C4:F18C6" \a \f 4 \h </w:instrText>
      </w:r>
      <w:r>
        <w:rPr>
          <w:rFonts w:eastAsia="Calibri"/>
        </w:rPr>
        <w:fldChar w:fldCharType="separate"/>
      </w:r>
    </w:p>
    <w:p w:rsidR="005423C3" w:rsidRDefault="00D16090" w:rsidP="000A2EAF">
      <w:pPr>
        <w:spacing w:before="80" w:line="250" w:lineRule="exact"/>
        <w:ind w:left="708"/>
        <w:jc w:val="both"/>
        <w:rPr>
          <w:rFonts w:ascii="Arial" w:eastAsia="Calibri" w:hAnsi="Arial" w:cs="Arial"/>
          <w:spacing w:val="-1"/>
          <w:sz w:val="17"/>
          <w:szCs w:val="17"/>
        </w:rPr>
      </w:pPr>
      <w:r>
        <w:rPr>
          <w:rFonts w:ascii="Arial" w:eastAsia="Calibri" w:hAnsi="Arial" w:cs="Arial"/>
          <w:spacing w:val="-1"/>
          <w:sz w:val="17"/>
          <w:szCs w:val="17"/>
        </w:rPr>
        <w:fldChar w:fldCharType="end"/>
      </w:r>
    </w:p>
    <w:p w:rsidR="005423C3" w:rsidRDefault="005423C3" w:rsidP="000A2EAF">
      <w:pPr>
        <w:spacing w:before="80" w:line="250" w:lineRule="exact"/>
        <w:ind w:left="708"/>
        <w:jc w:val="both"/>
        <w:rPr>
          <w:rFonts w:ascii="Arial" w:eastAsia="Calibri" w:hAnsi="Arial" w:cs="Arial"/>
          <w:spacing w:val="-1"/>
          <w:sz w:val="17"/>
          <w:szCs w:val="17"/>
        </w:rPr>
      </w:pPr>
    </w:p>
    <w:p w:rsidR="005423C3" w:rsidRDefault="005423C3" w:rsidP="000A2EAF">
      <w:pPr>
        <w:spacing w:before="80" w:line="250" w:lineRule="exact"/>
        <w:ind w:left="708"/>
        <w:jc w:val="both"/>
        <w:rPr>
          <w:rFonts w:ascii="Arial" w:eastAsia="Calibri" w:hAnsi="Arial" w:cs="Arial"/>
          <w:spacing w:val="-1"/>
          <w:sz w:val="17"/>
          <w:szCs w:val="17"/>
        </w:rPr>
      </w:pPr>
    </w:p>
    <w:p w:rsidR="005423C3" w:rsidRPr="00BA272D" w:rsidRDefault="005423C3" w:rsidP="000A2EAF">
      <w:pPr>
        <w:spacing w:before="80" w:line="250" w:lineRule="exact"/>
        <w:ind w:left="708"/>
        <w:jc w:val="both"/>
        <w:rPr>
          <w:rFonts w:ascii="Arial" w:eastAsia="Calibri" w:hAnsi="Arial" w:cs="Arial"/>
          <w:spacing w:val="-1"/>
          <w:sz w:val="17"/>
          <w:szCs w:val="17"/>
        </w:rPr>
      </w:pPr>
    </w:p>
    <w:p w:rsidR="00F71E5C" w:rsidRPr="00BA272D" w:rsidRDefault="00F71E5C" w:rsidP="003B1811">
      <w:pPr>
        <w:spacing w:before="80" w:line="250" w:lineRule="exact"/>
        <w:ind w:left="708"/>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Se informa de manera agrupada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xml:space="preserve"> de los recursos localizados en fondos y bienes de terceros en garantía y/o administración a corto plazo:</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11818" w:type="dxa"/>
        <w:tblInd w:w="1838" w:type="dxa"/>
        <w:tblCellMar>
          <w:left w:w="70" w:type="dxa"/>
          <w:right w:w="70" w:type="dxa"/>
        </w:tblCellMar>
        <w:tblLook w:val="04A0" w:firstRow="1" w:lastRow="0" w:firstColumn="1" w:lastColumn="0" w:noHBand="0" w:noVBand="1"/>
      </w:tblPr>
      <w:tblGrid>
        <w:gridCol w:w="4332"/>
        <w:gridCol w:w="175"/>
        <w:gridCol w:w="1163"/>
        <w:gridCol w:w="1274"/>
        <w:gridCol w:w="285"/>
        <w:gridCol w:w="2152"/>
        <w:gridCol w:w="1109"/>
        <w:gridCol w:w="1328"/>
      </w:tblGrid>
      <w:tr w:rsidR="00F71E5C" w:rsidRPr="00BA272D" w:rsidTr="0051514A">
        <w:trPr>
          <w:gridAfter w:val="1"/>
          <w:wAfter w:w="1328" w:type="dxa"/>
          <w:trHeight w:val="486"/>
        </w:trPr>
        <w:tc>
          <w:tcPr>
            <w:tcW w:w="4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33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Naturaleza</w:t>
            </w:r>
          </w:p>
        </w:tc>
      </w:tr>
      <w:tr w:rsidR="00FB1EEE" w:rsidRPr="00BA272D" w:rsidTr="0051514A">
        <w:trPr>
          <w:gridAfter w:val="1"/>
          <w:wAfter w:w="1328" w:type="dxa"/>
          <w:trHeight w:val="207"/>
        </w:trPr>
        <w:tc>
          <w:tcPr>
            <w:tcW w:w="4332"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Fondos en Garantía a Corto Plazo</w:t>
            </w:r>
          </w:p>
        </w:tc>
        <w:tc>
          <w:tcPr>
            <w:tcW w:w="1338" w:type="dxa"/>
            <w:gridSpan w:val="2"/>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10,103,520 </w:t>
            </w:r>
          </w:p>
        </w:tc>
        <w:tc>
          <w:tcPr>
            <w:tcW w:w="1559" w:type="dxa"/>
            <w:gridSpan w:val="2"/>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11,462,414 </w:t>
            </w:r>
          </w:p>
        </w:tc>
        <w:tc>
          <w:tcPr>
            <w:tcW w:w="3261" w:type="dxa"/>
            <w:gridSpan w:val="2"/>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Fianzas y depósitos en garantía</w:t>
            </w:r>
          </w:p>
        </w:tc>
      </w:tr>
      <w:tr w:rsidR="00FB1EEE" w:rsidRPr="00BA272D" w:rsidTr="0051514A">
        <w:trPr>
          <w:gridAfter w:val="1"/>
          <w:wAfter w:w="1328" w:type="dxa"/>
          <w:trHeight w:val="243"/>
        </w:trPr>
        <w:tc>
          <w:tcPr>
            <w:tcW w:w="4332"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Otros Fondos de Terceros en Garantía y/o Administración a Corto Plazo</w:t>
            </w:r>
          </w:p>
        </w:tc>
        <w:tc>
          <w:tcPr>
            <w:tcW w:w="1338" w:type="dxa"/>
            <w:gridSpan w:val="2"/>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25,873 </w:t>
            </w:r>
          </w:p>
        </w:tc>
        <w:tc>
          <w:tcPr>
            <w:tcW w:w="1559" w:type="dxa"/>
            <w:gridSpan w:val="2"/>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3,130,045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Sanciones y retenciones de obra pública</w:t>
            </w:r>
          </w:p>
        </w:tc>
      </w:tr>
      <w:tr w:rsidR="00FB1EEE" w:rsidRPr="00BA272D" w:rsidTr="0051514A">
        <w:trPr>
          <w:gridAfter w:val="1"/>
          <w:wAfter w:w="1328" w:type="dxa"/>
          <w:trHeight w:val="151"/>
        </w:trPr>
        <w:tc>
          <w:tcPr>
            <w:tcW w:w="4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EEE" w:rsidRPr="00BA272D" w:rsidRDefault="00FB1EEE" w:rsidP="00FB1EEE">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13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10,129,392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14,592,459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Cs/>
                <w:color w:val="000000"/>
                <w:sz w:val="17"/>
                <w:szCs w:val="17"/>
              </w:rPr>
            </w:pPr>
          </w:p>
        </w:tc>
      </w:tr>
      <w:tr w:rsidR="00F71E5C" w:rsidRPr="00BA272D" w:rsidTr="0051514A">
        <w:trPr>
          <w:trHeight w:val="243"/>
        </w:trPr>
        <w:tc>
          <w:tcPr>
            <w:tcW w:w="4507" w:type="dxa"/>
            <w:gridSpan w:val="2"/>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color w:val="000000"/>
                <w:sz w:val="17"/>
                <w:szCs w:val="17"/>
              </w:rPr>
            </w:pPr>
          </w:p>
        </w:tc>
        <w:tc>
          <w:tcPr>
            <w:tcW w:w="2437" w:type="dxa"/>
            <w:gridSpan w:val="2"/>
            <w:tcBorders>
              <w:top w:val="nil"/>
              <w:left w:val="nil"/>
              <w:bottom w:val="nil"/>
              <w:right w:val="nil"/>
            </w:tcBorders>
            <w:shd w:val="clear" w:color="000000" w:fill="FFFFFF"/>
            <w:vAlign w:val="center"/>
            <w:hideMark/>
          </w:tcPr>
          <w:p w:rsidR="00F71E5C" w:rsidRPr="00BA272D" w:rsidRDefault="00F71E5C" w:rsidP="00F71E5C">
            <w:pPr>
              <w:jc w:val="center"/>
              <w:rPr>
                <w:rFonts w:ascii="Arial" w:hAnsi="Arial" w:cs="Arial"/>
                <w:color w:val="000000"/>
                <w:sz w:val="17"/>
                <w:szCs w:val="17"/>
              </w:rPr>
            </w:pPr>
            <w:r w:rsidRPr="00BA272D">
              <w:rPr>
                <w:rFonts w:ascii="Arial" w:hAnsi="Arial" w:cs="Arial"/>
                <w:color w:val="000000"/>
                <w:sz w:val="17"/>
                <w:szCs w:val="17"/>
              </w:rPr>
              <w:t> </w:t>
            </w:r>
          </w:p>
        </w:tc>
        <w:tc>
          <w:tcPr>
            <w:tcW w:w="2437" w:type="dxa"/>
            <w:gridSpan w:val="2"/>
            <w:tcBorders>
              <w:top w:val="nil"/>
              <w:left w:val="nil"/>
              <w:bottom w:val="nil"/>
              <w:right w:val="nil"/>
            </w:tcBorders>
            <w:shd w:val="clear" w:color="000000" w:fill="FFFFFF"/>
            <w:noWrap/>
            <w:vAlign w:val="bottom"/>
            <w:hideMark/>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 </w:t>
            </w:r>
          </w:p>
        </w:tc>
        <w:tc>
          <w:tcPr>
            <w:tcW w:w="2437" w:type="dxa"/>
            <w:gridSpan w:val="2"/>
            <w:tcBorders>
              <w:top w:val="nil"/>
              <w:left w:val="nil"/>
              <w:bottom w:val="nil"/>
              <w:right w:val="nil"/>
            </w:tcBorders>
            <w:shd w:val="clear" w:color="auto" w:fill="auto"/>
            <w:noWrap/>
            <w:vAlign w:val="bottom"/>
            <w:hideMark/>
          </w:tcPr>
          <w:p w:rsidR="00F71E5C" w:rsidRPr="00BA272D" w:rsidRDefault="00F71E5C" w:rsidP="00F71E5C">
            <w:pPr>
              <w:rPr>
                <w:rFonts w:ascii="Arial" w:hAnsi="Arial" w:cs="Arial"/>
                <w:color w:val="000000"/>
                <w:sz w:val="17"/>
                <w:szCs w:val="17"/>
              </w:rPr>
            </w:pPr>
          </w:p>
        </w:tc>
      </w:tr>
    </w:tbl>
    <w:p w:rsidR="00F71E5C" w:rsidRPr="00BA272D" w:rsidRDefault="00F71E5C" w:rsidP="009C5FBD">
      <w:pPr>
        <w:spacing w:before="80" w:line="250" w:lineRule="exact"/>
        <w:ind w:left="851"/>
        <w:jc w:val="both"/>
        <w:rPr>
          <w:rFonts w:ascii="Arial" w:eastAsia="Calibri" w:hAnsi="Arial" w:cs="Arial"/>
          <w:spacing w:val="-1"/>
          <w:sz w:val="17"/>
          <w:szCs w:val="17"/>
        </w:rPr>
      </w:pPr>
      <w:r w:rsidRPr="00BA272D">
        <w:rPr>
          <w:rFonts w:ascii="Arial" w:hAnsi="Arial" w:cs="Arial"/>
          <w:sz w:val="17"/>
          <w:szCs w:val="17"/>
        </w:rPr>
        <w:t>Fondos en Garantía a Corto Plazo</w:t>
      </w:r>
      <w:r w:rsidR="001F6631">
        <w:rPr>
          <w:rFonts w:ascii="Arial" w:eastAsia="Calibri" w:hAnsi="Arial" w:cs="Arial"/>
          <w:spacing w:val="-1"/>
          <w:sz w:val="17"/>
          <w:szCs w:val="17"/>
        </w:rPr>
        <w:t xml:space="preserve"> presenta un </w:t>
      </w:r>
      <w:r w:rsidRPr="00BA272D">
        <w:rPr>
          <w:rFonts w:ascii="Arial" w:eastAsia="Calibri" w:hAnsi="Arial" w:cs="Arial"/>
          <w:spacing w:val="-1"/>
          <w:sz w:val="17"/>
          <w:szCs w:val="17"/>
        </w:rPr>
        <w:t>decremento derivado principalmente de la depuración de la</w:t>
      </w:r>
      <w:r w:rsidR="00CA0F7B" w:rsidRPr="00BA272D">
        <w:rPr>
          <w:rFonts w:ascii="Arial" w:eastAsia="Calibri" w:hAnsi="Arial" w:cs="Arial"/>
          <w:spacing w:val="-1"/>
          <w:sz w:val="17"/>
          <w:szCs w:val="17"/>
        </w:rPr>
        <w:t>s</w:t>
      </w:r>
      <w:r w:rsidRPr="00BA272D">
        <w:rPr>
          <w:rFonts w:ascii="Arial" w:eastAsia="Calibri" w:hAnsi="Arial" w:cs="Arial"/>
          <w:spacing w:val="-1"/>
          <w:sz w:val="17"/>
          <w:szCs w:val="17"/>
        </w:rPr>
        <w:t xml:space="preserve"> cuenta</w:t>
      </w:r>
      <w:r w:rsidR="00CA0F7B" w:rsidRPr="00BA272D">
        <w:rPr>
          <w:rFonts w:ascii="Arial" w:eastAsia="Calibri" w:hAnsi="Arial" w:cs="Arial"/>
          <w:spacing w:val="-1"/>
          <w:sz w:val="17"/>
          <w:szCs w:val="17"/>
        </w:rPr>
        <w:t xml:space="preserve">s Depósitos en la Junta de Conciliación y Arbitraje y </w:t>
      </w:r>
      <w:r w:rsidRPr="00BA272D">
        <w:rPr>
          <w:rFonts w:ascii="Arial" w:eastAsia="Calibri" w:hAnsi="Arial" w:cs="Arial"/>
          <w:spacing w:val="-1"/>
          <w:sz w:val="17"/>
          <w:szCs w:val="17"/>
        </w:rPr>
        <w:t>Depósitos en Garantía.</w:t>
      </w:r>
    </w:p>
    <w:p w:rsidR="00F71E5C" w:rsidRPr="00BA272D" w:rsidRDefault="00F71E5C" w:rsidP="009C5FBD">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Otros Fondos de Terceros en Garantía y/o Administración a Corto Plazo presentan un decrem</w:t>
      </w:r>
      <w:r w:rsidR="00CE0385">
        <w:rPr>
          <w:rFonts w:ascii="Arial" w:eastAsia="Calibri" w:hAnsi="Arial" w:cs="Arial"/>
          <w:spacing w:val="-1"/>
          <w:sz w:val="17"/>
          <w:szCs w:val="17"/>
        </w:rPr>
        <w:t xml:space="preserve">ento derivado </w:t>
      </w:r>
      <w:r w:rsidR="003A0E7B">
        <w:rPr>
          <w:rFonts w:ascii="Arial" w:eastAsia="Calibri" w:hAnsi="Arial" w:cs="Arial"/>
          <w:spacing w:val="-1"/>
          <w:sz w:val="17"/>
          <w:szCs w:val="17"/>
        </w:rPr>
        <w:t>del reconocimiento del ingreso</w:t>
      </w:r>
      <w:r w:rsidR="00CE0385">
        <w:rPr>
          <w:rFonts w:ascii="Arial" w:eastAsia="Calibri" w:hAnsi="Arial" w:cs="Arial"/>
          <w:spacing w:val="-1"/>
          <w:sz w:val="17"/>
          <w:szCs w:val="17"/>
        </w:rPr>
        <w:t xml:space="preserve"> por concepto de</w:t>
      </w:r>
      <w:r w:rsidRPr="00BA272D">
        <w:rPr>
          <w:rFonts w:ascii="Arial" w:eastAsia="Calibri" w:hAnsi="Arial" w:cs="Arial"/>
          <w:spacing w:val="-1"/>
          <w:sz w:val="17"/>
          <w:szCs w:val="17"/>
        </w:rPr>
        <w:t xml:space="preserve"> </w:t>
      </w:r>
      <w:r w:rsidR="00CA0F7B" w:rsidRPr="00BA272D">
        <w:rPr>
          <w:rFonts w:ascii="Arial" w:eastAsia="Calibri" w:hAnsi="Arial" w:cs="Arial"/>
          <w:spacing w:val="-1"/>
          <w:sz w:val="17"/>
          <w:szCs w:val="17"/>
        </w:rPr>
        <w:t xml:space="preserve">retenciones por atraso de obra pública y </w:t>
      </w:r>
      <w:r w:rsidR="000A2EAF" w:rsidRPr="00BA272D">
        <w:rPr>
          <w:rFonts w:ascii="Arial" w:eastAsia="Calibri" w:hAnsi="Arial" w:cs="Arial"/>
          <w:spacing w:val="-1"/>
          <w:sz w:val="17"/>
          <w:szCs w:val="17"/>
        </w:rPr>
        <w:t>sanciones obra pública</w:t>
      </w:r>
      <w:r w:rsidRPr="00BA272D">
        <w:rPr>
          <w:rFonts w:ascii="Arial" w:eastAsia="Calibri" w:hAnsi="Arial" w:cs="Arial"/>
          <w:spacing w:val="-1"/>
          <w:sz w:val="17"/>
          <w:szCs w:val="17"/>
        </w:rPr>
        <w:t>.</w:t>
      </w:r>
    </w:p>
    <w:p w:rsidR="00F71E5C" w:rsidRPr="00BA272D" w:rsidRDefault="00F71E5C" w:rsidP="00C70D05">
      <w:pPr>
        <w:spacing w:before="80" w:line="250" w:lineRule="exact"/>
        <w:ind w:left="851" w:right="-1559"/>
        <w:jc w:val="both"/>
        <w:rPr>
          <w:rFonts w:ascii="Arial" w:eastAsia="Calibri" w:hAnsi="Arial" w:cs="Arial"/>
          <w:spacing w:val="-1"/>
          <w:sz w:val="17"/>
          <w:szCs w:val="17"/>
        </w:rPr>
      </w:pPr>
    </w:p>
    <w:p w:rsidR="00F71E5C" w:rsidRPr="00BA272D" w:rsidRDefault="00F71E5C" w:rsidP="00C70D05">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el monto del rubro Otros Pasivos a Corto Plazo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7080" w:type="dxa"/>
        <w:tblInd w:w="3831" w:type="dxa"/>
        <w:tblCellMar>
          <w:left w:w="70" w:type="dxa"/>
          <w:right w:w="70" w:type="dxa"/>
        </w:tblCellMar>
        <w:tblLook w:val="04A0" w:firstRow="1" w:lastRow="0" w:firstColumn="1" w:lastColumn="0" w:noHBand="0" w:noVBand="1"/>
      </w:tblPr>
      <w:tblGrid>
        <w:gridCol w:w="2405"/>
        <w:gridCol w:w="1701"/>
        <w:gridCol w:w="794"/>
        <w:gridCol w:w="482"/>
        <w:gridCol w:w="1698"/>
      </w:tblGrid>
      <w:tr w:rsidR="00F71E5C" w:rsidRPr="00BA272D" w:rsidTr="00235C36">
        <w:trPr>
          <w:gridAfter w:val="1"/>
          <w:wAfter w:w="1698" w:type="dxa"/>
          <w:trHeight w:val="283"/>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235C36">
        <w:trPr>
          <w:gridAfter w:val="1"/>
          <w:wAfter w:w="1698" w:type="dxa"/>
          <w:trHeight w:val="240"/>
        </w:trPr>
        <w:tc>
          <w:tcPr>
            <w:tcW w:w="2405"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Ingresos por Clasificar</w:t>
            </w:r>
          </w:p>
        </w:tc>
        <w:tc>
          <w:tcPr>
            <w:tcW w:w="1701"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658,061 </w:t>
            </w:r>
          </w:p>
        </w:tc>
        <w:tc>
          <w:tcPr>
            <w:tcW w:w="1276" w:type="dxa"/>
            <w:gridSpan w:val="2"/>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442,673 </w:t>
            </w:r>
          </w:p>
        </w:tc>
      </w:tr>
      <w:tr w:rsidR="00FB1EEE" w:rsidRPr="00BA272D" w:rsidTr="00235C36">
        <w:trPr>
          <w:gridAfter w:val="1"/>
          <w:wAfter w:w="1698" w:type="dxa"/>
          <w:trHeight w:val="240"/>
        </w:trPr>
        <w:tc>
          <w:tcPr>
            <w:tcW w:w="2405"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Recaudación por Participar</w:t>
            </w:r>
          </w:p>
        </w:tc>
        <w:tc>
          <w:tcPr>
            <w:tcW w:w="1701"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52,841,856 </w:t>
            </w:r>
          </w:p>
        </w:tc>
        <w:tc>
          <w:tcPr>
            <w:tcW w:w="1276" w:type="dxa"/>
            <w:gridSpan w:val="2"/>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46,818,665 </w:t>
            </w:r>
          </w:p>
        </w:tc>
      </w:tr>
      <w:tr w:rsidR="00FB1EEE" w:rsidRPr="00BA272D" w:rsidTr="00235C36">
        <w:trPr>
          <w:gridAfter w:val="1"/>
          <w:wAfter w:w="1698" w:type="dxa"/>
          <w:trHeight w:val="240"/>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EEE" w:rsidRPr="00BA272D" w:rsidRDefault="00FB1EEE" w:rsidP="00FB1EEE">
            <w:pPr>
              <w:jc w:val="center"/>
              <w:rPr>
                <w:rFonts w:ascii="Arial" w:hAnsi="Arial" w:cs="Arial"/>
                <w:b/>
                <w:bCs/>
                <w:color w:val="000000"/>
                <w:sz w:val="17"/>
                <w:szCs w:val="17"/>
              </w:rPr>
            </w:pPr>
            <w:r w:rsidRPr="00BA272D">
              <w:rPr>
                <w:rFonts w:ascii="Arial" w:hAnsi="Arial" w:cs="Arial"/>
                <w:b/>
                <w:bCs/>
                <w:color w:val="000000"/>
                <w:sz w:val="17"/>
                <w:szCs w:val="17"/>
              </w:rPr>
              <w:t>Total</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53,499,916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47,261,338 </w:t>
            </w:r>
          </w:p>
        </w:tc>
      </w:tr>
      <w:tr w:rsidR="00F71E5C" w:rsidRPr="00BA272D" w:rsidTr="00235C36">
        <w:trPr>
          <w:trHeight w:val="240"/>
        </w:trPr>
        <w:tc>
          <w:tcPr>
            <w:tcW w:w="4900" w:type="dxa"/>
            <w:gridSpan w:val="3"/>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color w:val="000000"/>
                <w:sz w:val="17"/>
                <w:szCs w:val="17"/>
              </w:rPr>
            </w:pPr>
          </w:p>
        </w:tc>
        <w:tc>
          <w:tcPr>
            <w:tcW w:w="2180" w:type="dxa"/>
            <w:gridSpan w:val="2"/>
            <w:tcBorders>
              <w:top w:val="nil"/>
              <w:left w:val="nil"/>
              <w:bottom w:val="nil"/>
              <w:right w:val="nil"/>
            </w:tcBorders>
            <w:shd w:val="clear" w:color="000000" w:fill="FFFFFF"/>
            <w:vAlign w:val="center"/>
            <w:hideMark/>
          </w:tcPr>
          <w:p w:rsidR="00F71E5C" w:rsidRPr="00BA272D" w:rsidRDefault="00F71E5C" w:rsidP="00F71E5C">
            <w:pPr>
              <w:jc w:val="center"/>
              <w:rPr>
                <w:rFonts w:ascii="Arial" w:hAnsi="Arial" w:cs="Arial"/>
                <w:b/>
                <w:color w:val="000000"/>
                <w:sz w:val="17"/>
                <w:szCs w:val="17"/>
              </w:rPr>
            </w:pPr>
            <w:r w:rsidRPr="00BA272D">
              <w:rPr>
                <w:rFonts w:ascii="Arial" w:hAnsi="Arial" w:cs="Arial"/>
                <w:b/>
                <w:color w:val="000000"/>
                <w:sz w:val="17"/>
                <w:szCs w:val="17"/>
              </w:rPr>
              <w:t> </w:t>
            </w:r>
          </w:p>
        </w:tc>
      </w:tr>
    </w:tbl>
    <w:p w:rsidR="00F71E5C" w:rsidRPr="00BA272D" w:rsidRDefault="00CA0F7B" w:rsidP="009C5FBD">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El </w:t>
      </w:r>
      <w:r w:rsidR="00A0442A" w:rsidRPr="00BA272D">
        <w:rPr>
          <w:rFonts w:ascii="Arial" w:eastAsia="Calibri" w:hAnsi="Arial" w:cs="Arial"/>
          <w:spacing w:val="-1"/>
          <w:sz w:val="17"/>
          <w:szCs w:val="17"/>
        </w:rPr>
        <w:t>in</w:t>
      </w:r>
      <w:r w:rsidR="00F71E5C" w:rsidRPr="00BA272D">
        <w:rPr>
          <w:rFonts w:ascii="Arial" w:eastAsia="Calibri" w:hAnsi="Arial" w:cs="Arial"/>
          <w:spacing w:val="-1"/>
          <w:sz w:val="17"/>
          <w:szCs w:val="17"/>
        </w:rPr>
        <w:t>cremento en la cuenta Ingresos por Clasificar se debe principalmente a l</w:t>
      </w:r>
      <w:r w:rsidR="00A0442A" w:rsidRPr="00BA272D">
        <w:rPr>
          <w:rFonts w:ascii="Arial" w:eastAsia="Calibri" w:hAnsi="Arial" w:cs="Arial"/>
          <w:spacing w:val="-1"/>
          <w:sz w:val="17"/>
          <w:szCs w:val="17"/>
        </w:rPr>
        <w:t>as líneas de captura duplicadas por RECAUDANET</w:t>
      </w:r>
      <w:r w:rsidR="00F71E5C" w:rsidRPr="00BA272D">
        <w:rPr>
          <w:rFonts w:ascii="Arial" w:eastAsia="Calibri" w:hAnsi="Arial" w:cs="Arial"/>
          <w:spacing w:val="-1"/>
          <w:sz w:val="17"/>
          <w:szCs w:val="17"/>
        </w:rPr>
        <w:t>.</w:t>
      </w:r>
    </w:p>
    <w:p w:rsidR="00F71E5C" w:rsidRPr="00BA272D" w:rsidRDefault="000823EC" w:rsidP="009C5FBD">
      <w:pPr>
        <w:spacing w:before="80" w:line="250" w:lineRule="exact"/>
        <w:ind w:left="851"/>
        <w:jc w:val="both"/>
        <w:rPr>
          <w:rFonts w:ascii="Arial" w:eastAsia="Calibri" w:hAnsi="Arial" w:cs="Arial"/>
          <w:spacing w:val="-1"/>
          <w:sz w:val="17"/>
          <w:szCs w:val="17"/>
        </w:rPr>
      </w:pPr>
      <w:r>
        <w:rPr>
          <w:rFonts w:ascii="Arial" w:eastAsia="Calibri" w:hAnsi="Arial" w:cs="Arial"/>
          <w:spacing w:val="-1"/>
          <w:sz w:val="17"/>
          <w:szCs w:val="17"/>
        </w:rPr>
        <w:t>La</w:t>
      </w:r>
      <w:r w:rsidR="00F71E5C" w:rsidRPr="00BA272D">
        <w:rPr>
          <w:rFonts w:ascii="Arial" w:eastAsia="Calibri" w:hAnsi="Arial" w:cs="Arial"/>
          <w:spacing w:val="-1"/>
          <w:sz w:val="17"/>
          <w:szCs w:val="17"/>
        </w:rPr>
        <w:t xml:space="preserve"> cuent</w:t>
      </w:r>
      <w:r>
        <w:rPr>
          <w:rFonts w:ascii="Arial" w:eastAsia="Calibri" w:hAnsi="Arial" w:cs="Arial"/>
          <w:spacing w:val="-1"/>
          <w:sz w:val="17"/>
          <w:szCs w:val="17"/>
        </w:rPr>
        <w:t xml:space="preserve">a de Recaudación por Participar, </w:t>
      </w:r>
      <w:r w:rsidR="00D042F6">
        <w:rPr>
          <w:rFonts w:ascii="Arial" w:eastAsia="Calibri" w:hAnsi="Arial" w:cs="Arial"/>
          <w:spacing w:val="-1"/>
          <w:sz w:val="17"/>
          <w:szCs w:val="17"/>
        </w:rPr>
        <w:t>deriva</w:t>
      </w:r>
      <w:r w:rsidR="00B714FB">
        <w:rPr>
          <w:rFonts w:ascii="Arial" w:eastAsia="Calibri" w:hAnsi="Arial" w:cs="Arial"/>
          <w:spacing w:val="-1"/>
          <w:sz w:val="17"/>
          <w:szCs w:val="17"/>
        </w:rPr>
        <w:t xml:space="preserve"> del convenio de Coordinación </w:t>
      </w:r>
      <w:r>
        <w:rPr>
          <w:rFonts w:ascii="Arial" w:eastAsia="Calibri" w:hAnsi="Arial" w:cs="Arial"/>
          <w:spacing w:val="-1"/>
          <w:sz w:val="17"/>
          <w:szCs w:val="17"/>
        </w:rPr>
        <w:t>Administrativa en Materia Fiscal Federal</w:t>
      </w:r>
      <w:r w:rsidR="00D042F6">
        <w:rPr>
          <w:rFonts w:ascii="Arial" w:eastAsia="Calibri" w:hAnsi="Arial" w:cs="Arial"/>
          <w:spacing w:val="-1"/>
          <w:sz w:val="17"/>
          <w:szCs w:val="17"/>
        </w:rPr>
        <w:t xml:space="preserve"> y </w:t>
      </w:r>
      <w:r w:rsidR="00F71E5C" w:rsidRPr="00BA272D">
        <w:rPr>
          <w:rFonts w:ascii="Arial" w:eastAsia="Calibri" w:hAnsi="Arial" w:cs="Arial"/>
          <w:spacing w:val="-1"/>
          <w:sz w:val="17"/>
          <w:szCs w:val="17"/>
        </w:rPr>
        <w:t>presenta un increm</w:t>
      </w:r>
      <w:r w:rsidR="00135F33" w:rsidRPr="00BA272D">
        <w:rPr>
          <w:rFonts w:ascii="Arial" w:eastAsia="Calibri" w:hAnsi="Arial" w:cs="Arial"/>
          <w:spacing w:val="-1"/>
          <w:sz w:val="17"/>
          <w:szCs w:val="17"/>
        </w:rPr>
        <w:t xml:space="preserve">ento principalmente </w:t>
      </w:r>
      <w:r w:rsidR="00D042F6">
        <w:rPr>
          <w:rFonts w:ascii="Arial" w:eastAsia="Calibri" w:hAnsi="Arial" w:cs="Arial"/>
          <w:spacing w:val="-1"/>
          <w:sz w:val="17"/>
          <w:szCs w:val="17"/>
        </w:rPr>
        <w:t xml:space="preserve">en los rubros de </w:t>
      </w:r>
      <w:r w:rsidR="00135F33" w:rsidRPr="00BA272D">
        <w:rPr>
          <w:rFonts w:ascii="Arial" w:eastAsia="Calibri" w:hAnsi="Arial" w:cs="Arial"/>
          <w:spacing w:val="-1"/>
          <w:sz w:val="17"/>
          <w:szCs w:val="17"/>
        </w:rPr>
        <w:t>I</w:t>
      </w:r>
      <w:r w:rsidR="003E0C09" w:rsidRPr="00BA272D">
        <w:rPr>
          <w:rFonts w:ascii="Arial" w:eastAsia="Calibri" w:hAnsi="Arial" w:cs="Arial"/>
          <w:spacing w:val="-1"/>
          <w:sz w:val="17"/>
          <w:szCs w:val="17"/>
        </w:rPr>
        <w:t>mpuesto sobre Automóviles Nuevos e ISR Notarios art 127</w:t>
      </w:r>
      <w:r w:rsidR="00135F33" w:rsidRPr="00BA272D">
        <w:rPr>
          <w:rFonts w:ascii="Arial" w:eastAsia="Calibri" w:hAnsi="Arial" w:cs="Arial"/>
          <w:spacing w:val="-1"/>
          <w:sz w:val="17"/>
          <w:szCs w:val="17"/>
        </w:rPr>
        <w:t>.</w:t>
      </w:r>
    </w:p>
    <w:p w:rsidR="00F71E5C" w:rsidRDefault="00F71E5C" w:rsidP="00F71E5C">
      <w:pPr>
        <w:spacing w:before="80" w:line="250" w:lineRule="exact"/>
        <w:jc w:val="both"/>
        <w:rPr>
          <w:rFonts w:ascii="Arial" w:eastAsia="Calibri" w:hAnsi="Arial" w:cs="Arial"/>
          <w:spacing w:val="-1"/>
          <w:sz w:val="17"/>
          <w:szCs w:val="17"/>
        </w:rPr>
      </w:pPr>
    </w:p>
    <w:p w:rsidR="00C70D05" w:rsidRDefault="00C70D05" w:rsidP="00F71E5C">
      <w:pPr>
        <w:spacing w:before="80" w:line="250" w:lineRule="exact"/>
        <w:jc w:val="both"/>
        <w:rPr>
          <w:rFonts w:ascii="Arial" w:eastAsia="Calibri" w:hAnsi="Arial" w:cs="Arial"/>
          <w:spacing w:val="-1"/>
          <w:sz w:val="17"/>
          <w:szCs w:val="17"/>
        </w:rPr>
      </w:pPr>
    </w:p>
    <w:p w:rsidR="00C70D05" w:rsidRDefault="00C70D05" w:rsidP="00F71E5C">
      <w:pPr>
        <w:spacing w:before="80" w:line="250" w:lineRule="exact"/>
        <w:jc w:val="both"/>
        <w:rPr>
          <w:rFonts w:ascii="Arial" w:eastAsia="Calibri" w:hAnsi="Arial" w:cs="Arial"/>
          <w:spacing w:val="-1"/>
          <w:sz w:val="17"/>
          <w:szCs w:val="17"/>
        </w:rPr>
      </w:pPr>
    </w:p>
    <w:p w:rsidR="00C70D05" w:rsidRDefault="00C70D05" w:rsidP="00F71E5C">
      <w:pPr>
        <w:spacing w:before="80" w:line="250" w:lineRule="exact"/>
        <w:jc w:val="both"/>
        <w:rPr>
          <w:rFonts w:ascii="Arial" w:eastAsia="Calibri" w:hAnsi="Arial" w:cs="Arial"/>
          <w:spacing w:val="-1"/>
          <w:sz w:val="17"/>
          <w:szCs w:val="17"/>
        </w:rPr>
      </w:pPr>
    </w:p>
    <w:p w:rsidR="00C70D05" w:rsidRDefault="00C70D05" w:rsidP="00F71E5C">
      <w:pPr>
        <w:spacing w:before="80" w:line="250" w:lineRule="exact"/>
        <w:jc w:val="both"/>
        <w:rPr>
          <w:rFonts w:ascii="Arial" w:eastAsia="Calibri" w:hAnsi="Arial" w:cs="Arial"/>
          <w:spacing w:val="-1"/>
          <w:sz w:val="17"/>
          <w:szCs w:val="17"/>
        </w:rPr>
      </w:pPr>
    </w:p>
    <w:p w:rsidR="001F6631" w:rsidRDefault="001F6631" w:rsidP="00F71E5C">
      <w:pPr>
        <w:spacing w:before="80" w:line="250" w:lineRule="exact"/>
        <w:jc w:val="both"/>
        <w:rPr>
          <w:rFonts w:ascii="Arial" w:eastAsia="Calibri" w:hAnsi="Arial" w:cs="Arial"/>
          <w:spacing w:val="-1"/>
          <w:sz w:val="17"/>
          <w:szCs w:val="17"/>
        </w:rPr>
      </w:pPr>
    </w:p>
    <w:p w:rsidR="001F6631" w:rsidRDefault="001F6631" w:rsidP="00F71E5C">
      <w:pPr>
        <w:spacing w:before="80" w:line="250" w:lineRule="exact"/>
        <w:jc w:val="both"/>
        <w:rPr>
          <w:rFonts w:ascii="Arial" w:eastAsia="Calibri" w:hAnsi="Arial" w:cs="Arial"/>
          <w:spacing w:val="-1"/>
          <w:sz w:val="17"/>
          <w:szCs w:val="17"/>
        </w:rPr>
      </w:pPr>
    </w:p>
    <w:p w:rsidR="001F6631" w:rsidRPr="00BA272D" w:rsidRDefault="001F6631" w:rsidP="00F71E5C">
      <w:pPr>
        <w:spacing w:before="80" w:line="250" w:lineRule="exact"/>
        <w:jc w:val="both"/>
        <w:rPr>
          <w:rFonts w:ascii="Arial" w:eastAsia="Calibri" w:hAnsi="Arial" w:cs="Arial"/>
          <w:spacing w:val="-1"/>
          <w:sz w:val="17"/>
          <w:szCs w:val="17"/>
        </w:rPr>
      </w:pPr>
    </w:p>
    <w:p w:rsidR="00F71E5C" w:rsidRPr="00BA272D" w:rsidRDefault="00F71E5C" w:rsidP="008D126E">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Se informa del rubro Deuda Pública a Largo Plazo, el monto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spacing w:before="80" w:line="250" w:lineRule="exact"/>
        <w:ind w:left="709"/>
        <w:jc w:val="both"/>
        <w:rPr>
          <w:rFonts w:ascii="Arial" w:eastAsia="Calibri" w:hAnsi="Arial" w:cs="Arial"/>
          <w:spacing w:val="-1"/>
          <w:sz w:val="17"/>
          <w:szCs w:val="17"/>
        </w:rPr>
      </w:pPr>
    </w:p>
    <w:tbl>
      <w:tblPr>
        <w:tblW w:w="6662" w:type="dxa"/>
        <w:tblInd w:w="3013" w:type="dxa"/>
        <w:tblCellMar>
          <w:left w:w="70" w:type="dxa"/>
          <w:right w:w="70" w:type="dxa"/>
        </w:tblCellMar>
        <w:tblLook w:val="04A0" w:firstRow="1" w:lastRow="0" w:firstColumn="1" w:lastColumn="0" w:noHBand="0" w:noVBand="1"/>
      </w:tblPr>
      <w:tblGrid>
        <w:gridCol w:w="4056"/>
        <w:gridCol w:w="1189"/>
        <w:gridCol w:w="1417"/>
      </w:tblGrid>
      <w:tr w:rsidR="00F71E5C" w:rsidRPr="00BA272D" w:rsidTr="008D126E">
        <w:trPr>
          <w:trHeight w:val="480"/>
        </w:trPr>
        <w:tc>
          <w:tcPr>
            <w:tcW w:w="4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1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8D126E">
        <w:trPr>
          <w:trHeight w:val="240"/>
        </w:trPr>
        <w:tc>
          <w:tcPr>
            <w:tcW w:w="4056"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Préstamos de la Deuda Pública Interna por Pagar a Largo Plazo</w:t>
            </w:r>
          </w:p>
        </w:tc>
        <w:tc>
          <w:tcPr>
            <w:tcW w:w="1189"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1417"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72,422,769 </w:t>
            </w:r>
          </w:p>
        </w:tc>
      </w:tr>
    </w:tbl>
    <w:p w:rsidR="00F71E5C" w:rsidRPr="00BA272D" w:rsidRDefault="00F71E5C" w:rsidP="00F71E5C">
      <w:pPr>
        <w:spacing w:before="80" w:line="250" w:lineRule="exact"/>
        <w:ind w:left="708"/>
        <w:jc w:val="both"/>
        <w:rPr>
          <w:rFonts w:ascii="Arial" w:eastAsia="Calibri" w:hAnsi="Arial" w:cs="Arial"/>
          <w:spacing w:val="-1"/>
          <w:sz w:val="17"/>
          <w:szCs w:val="17"/>
        </w:rPr>
      </w:pPr>
    </w:p>
    <w:p w:rsidR="00F71E5C" w:rsidRDefault="0010018A" w:rsidP="009C5FBD">
      <w:pPr>
        <w:spacing w:before="80" w:line="250" w:lineRule="exact"/>
        <w:ind w:left="851"/>
        <w:jc w:val="both"/>
        <w:rPr>
          <w:rFonts w:ascii="Arial" w:eastAsia="Calibri" w:hAnsi="Arial" w:cs="Arial"/>
          <w:spacing w:val="-1"/>
          <w:sz w:val="17"/>
          <w:szCs w:val="17"/>
        </w:rPr>
      </w:pPr>
      <w:r>
        <w:rPr>
          <w:rFonts w:ascii="Arial" w:eastAsia="Calibri" w:hAnsi="Arial" w:cs="Arial"/>
          <w:spacing w:val="-1"/>
          <w:sz w:val="17"/>
          <w:szCs w:val="17"/>
        </w:rPr>
        <w:t>En el mes de Junio del 2021, se liquidó</w:t>
      </w:r>
      <w:r w:rsidR="00F71E5C" w:rsidRPr="00BA272D">
        <w:rPr>
          <w:rFonts w:ascii="Arial" w:eastAsia="Calibri" w:hAnsi="Arial" w:cs="Arial"/>
          <w:spacing w:val="-1"/>
          <w:sz w:val="17"/>
          <w:szCs w:val="17"/>
        </w:rPr>
        <w:t xml:space="preserve"> la deuda contratada con</w:t>
      </w:r>
      <w:r>
        <w:rPr>
          <w:rFonts w:ascii="Arial" w:eastAsia="Calibri" w:hAnsi="Arial" w:cs="Arial"/>
          <w:spacing w:val="-1"/>
          <w:sz w:val="17"/>
          <w:szCs w:val="17"/>
        </w:rPr>
        <w:t xml:space="preserve"> la institución bancaria</w:t>
      </w:r>
      <w:r w:rsidR="00F71E5C" w:rsidRPr="00BA272D">
        <w:rPr>
          <w:rFonts w:ascii="Arial" w:eastAsia="Calibri" w:hAnsi="Arial" w:cs="Arial"/>
          <w:spacing w:val="-1"/>
          <w:sz w:val="17"/>
          <w:szCs w:val="17"/>
        </w:rPr>
        <w:t xml:space="preserve"> </w:t>
      </w:r>
      <w:r w:rsidRPr="0010018A">
        <w:rPr>
          <w:rFonts w:ascii="Arial" w:eastAsia="Calibri" w:hAnsi="Arial" w:cs="Arial"/>
          <w:spacing w:val="-1"/>
          <w:sz w:val="17"/>
          <w:szCs w:val="17"/>
        </w:rPr>
        <w:t>BBVA México, S.A., Institución de Banca</w:t>
      </w:r>
      <w:r>
        <w:rPr>
          <w:rFonts w:ascii="Arial" w:eastAsia="Calibri" w:hAnsi="Arial" w:cs="Arial"/>
          <w:spacing w:val="-1"/>
          <w:sz w:val="17"/>
          <w:szCs w:val="17"/>
        </w:rPr>
        <w:t>,</w:t>
      </w:r>
      <w:r>
        <w:rPr>
          <w:rFonts w:ascii="Arial" w:hAnsi="Arial" w:cs="Arial"/>
          <w:color w:val="202124"/>
          <w:shd w:val="clear" w:color="auto" w:fill="FFFFFF"/>
        </w:rPr>
        <w:t xml:space="preserve"> </w:t>
      </w:r>
      <w:r w:rsidR="00F71E5C" w:rsidRPr="00BA272D">
        <w:rPr>
          <w:rFonts w:ascii="Arial" w:eastAsia="Calibri" w:hAnsi="Arial" w:cs="Arial"/>
          <w:spacing w:val="-1"/>
          <w:sz w:val="17"/>
          <w:szCs w:val="17"/>
        </w:rPr>
        <w:t xml:space="preserve">la cual estaba garantizada a través de un fideicomiso de administración y pago fondeado con participaciones federales. </w:t>
      </w:r>
    </w:p>
    <w:p w:rsidR="00494746" w:rsidRDefault="00494746" w:rsidP="008D126E">
      <w:pPr>
        <w:spacing w:before="80" w:line="250" w:lineRule="exact"/>
        <w:ind w:left="851" w:right="-1559"/>
        <w:jc w:val="both"/>
        <w:rPr>
          <w:rFonts w:ascii="Arial" w:eastAsia="Calibri" w:hAnsi="Arial" w:cs="Arial"/>
          <w:spacing w:val="-1"/>
          <w:sz w:val="17"/>
          <w:szCs w:val="17"/>
        </w:rPr>
      </w:pPr>
    </w:p>
    <w:p w:rsidR="00494746" w:rsidRPr="00494746" w:rsidRDefault="00494746" w:rsidP="00494746">
      <w:pPr>
        <w:spacing w:before="80" w:line="250" w:lineRule="exact"/>
        <w:ind w:left="851" w:right="-1559"/>
        <w:jc w:val="both"/>
        <w:rPr>
          <w:rFonts w:ascii="Arial" w:eastAsia="Calibri" w:hAnsi="Arial" w:cs="Arial"/>
          <w:spacing w:val="-1"/>
          <w:sz w:val="17"/>
          <w:szCs w:val="17"/>
        </w:rPr>
      </w:pPr>
      <w:r>
        <w:rPr>
          <w:rFonts w:ascii="Arial" w:eastAsia="Calibri" w:hAnsi="Arial" w:cs="Arial"/>
          <w:spacing w:val="-1"/>
          <w:sz w:val="17"/>
          <w:szCs w:val="17"/>
        </w:rPr>
        <w:t xml:space="preserve">Se informa el saldo al rubro de </w:t>
      </w:r>
      <w:r w:rsidRPr="00494746">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w:t>
      </w:r>
    </w:p>
    <w:p w:rsidR="00494746" w:rsidRDefault="00494746" w:rsidP="00F71E5C">
      <w:pPr>
        <w:spacing w:before="80" w:line="250" w:lineRule="exact"/>
        <w:ind w:firstLine="709"/>
        <w:jc w:val="both"/>
        <w:rPr>
          <w:rFonts w:ascii="Calibri" w:eastAsia="Calibri" w:hAnsi="Calibri"/>
          <w:sz w:val="20"/>
          <w:szCs w:val="20"/>
        </w:rPr>
      </w:pPr>
      <w:r>
        <w:rPr>
          <w:rFonts w:eastAsia="Calibri"/>
        </w:rPr>
        <w:fldChar w:fldCharType="begin"/>
      </w:r>
      <w:r>
        <w:rPr>
          <w:rFonts w:eastAsia="Calibri"/>
        </w:rPr>
        <w:instrText xml:space="preserve"> LINK Excel.Sheet.12 "C:\\Users\\aoviedot\\Desktop\\Dirección Contabilidad 2021 - 2028\\Estados Financieros\\2021\\Diciembre\\BALANZA DEFINITIVA DICIEMBRE DE 2021.xlsx" "Hoja6!F17C4:F20C6" \a \f 4 \h </w:instrText>
      </w:r>
      <w:r>
        <w:rPr>
          <w:rFonts w:eastAsia="Calibri"/>
        </w:rPr>
        <w:fldChar w:fldCharType="separate"/>
      </w:r>
    </w:p>
    <w:tbl>
      <w:tblPr>
        <w:tblW w:w="5340" w:type="dxa"/>
        <w:tblInd w:w="4107" w:type="dxa"/>
        <w:tblCellMar>
          <w:left w:w="70" w:type="dxa"/>
          <w:right w:w="70" w:type="dxa"/>
        </w:tblCellMar>
        <w:tblLook w:val="04A0" w:firstRow="1" w:lastRow="0" w:firstColumn="1" w:lastColumn="0" w:noHBand="0" w:noVBand="1"/>
      </w:tblPr>
      <w:tblGrid>
        <w:gridCol w:w="2260"/>
        <w:gridCol w:w="1540"/>
        <w:gridCol w:w="1540"/>
      </w:tblGrid>
      <w:tr w:rsidR="00494746" w:rsidRPr="00494746" w:rsidTr="00494746">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4746" w:rsidRPr="00494746" w:rsidRDefault="00494746" w:rsidP="00494746">
            <w:pPr>
              <w:jc w:val="center"/>
              <w:rPr>
                <w:rFonts w:ascii="Arial" w:hAnsi="Arial" w:cs="Arial"/>
                <w:b/>
                <w:bCs/>
                <w:color w:val="000000"/>
                <w:sz w:val="17"/>
                <w:szCs w:val="17"/>
              </w:rPr>
            </w:pPr>
            <w:r w:rsidRPr="00494746">
              <w:rPr>
                <w:rFonts w:ascii="Arial" w:hAnsi="Arial" w:cs="Arial"/>
                <w:b/>
                <w:bCs/>
                <w:color w:val="000000"/>
                <w:sz w:val="17"/>
                <w:szCs w:val="17"/>
              </w:rPr>
              <w:t>Cuenta</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494746" w:rsidRPr="00494746" w:rsidRDefault="00494746" w:rsidP="00494746">
            <w:pPr>
              <w:jc w:val="center"/>
              <w:rPr>
                <w:rFonts w:ascii="Arial" w:hAnsi="Arial" w:cs="Arial"/>
                <w:b/>
                <w:bCs/>
                <w:color w:val="000000"/>
                <w:sz w:val="17"/>
                <w:szCs w:val="17"/>
              </w:rPr>
            </w:pPr>
            <w:r w:rsidRPr="00494746">
              <w:rPr>
                <w:rFonts w:ascii="Arial" w:hAnsi="Arial" w:cs="Arial"/>
                <w:b/>
                <w:bCs/>
                <w:color w:val="000000"/>
                <w:sz w:val="17"/>
                <w:szCs w:val="17"/>
              </w:rPr>
              <w:t>2021</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494746" w:rsidRPr="00494746" w:rsidRDefault="00494746" w:rsidP="00494746">
            <w:pPr>
              <w:jc w:val="center"/>
              <w:rPr>
                <w:rFonts w:ascii="Arial" w:hAnsi="Arial" w:cs="Arial"/>
                <w:b/>
                <w:bCs/>
                <w:color w:val="000000"/>
                <w:sz w:val="17"/>
                <w:szCs w:val="17"/>
              </w:rPr>
            </w:pPr>
            <w:r w:rsidRPr="00494746">
              <w:rPr>
                <w:rFonts w:ascii="Arial" w:hAnsi="Arial" w:cs="Arial"/>
                <w:b/>
                <w:bCs/>
                <w:color w:val="000000"/>
                <w:sz w:val="17"/>
                <w:szCs w:val="17"/>
              </w:rPr>
              <w:t>2020</w:t>
            </w:r>
          </w:p>
        </w:tc>
      </w:tr>
      <w:tr w:rsidR="00494746" w:rsidRPr="00494746" w:rsidTr="00494746">
        <w:trPr>
          <w:trHeight w:val="3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494746" w:rsidRPr="00494746" w:rsidRDefault="00494746" w:rsidP="00494746">
            <w:pPr>
              <w:rPr>
                <w:rFonts w:ascii="Arial" w:hAnsi="Arial" w:cs="Arial"/>
                <w:color w:val="000000"/>
                <w:sz w:val="17"/>
                <w:szCs w:val="17"/>
              </w:rPr>
            </w:pPr>
            <w:r w:rsidRPr="00494746">
              <w:rPr>
                <w:rFonts w:ascii="Arial" w:hAnsi="Arial" w:cs="Arial"/>
                <w:color w:val="000000"/>
                <w:sz w:val="17"/>
                <w:szCs w:val="17"/>
              </w:rPr>
              <w:t>TLANESE</w:t>
            </w:r>
          </w:p>
        </w:tc>
        <w:tc>
          <w:tcPr>
            <w:tcW w:w="1540" w:type="dxa"/>
            <w:tcBorders>
              <w:top w:val="nil"/>
              <w:left w:val="nil"/>
              <w:bottom w:val="single" w:sz="4" w:space="0" w:color="auto"/>
              <w:right w:val="single" w:sz="4" w:space="0" w:color="auto"/>
            </w:tcBorders>
            <w:shd w:val="clear" w:color="auto" w:fill="auto"/>
            <w:vAlign w:val="center"/>
            <w:hideMark/>
          </w:tcPr>
          <w:p w:rsidR="00494746" w:rsidRPr="00494746" w:rsidRDefault="00494746" w:rsidP="00494746">
            <w:pPr>
              <w:jc w:val="right"/>
              <w:rPr>
                <w:rFonts w:ascii="Arial" w:hAnsi="Arial" w:cs="Arial"/>
                <w:color w:val="000000"/>
                <w:sz w:val="17"/>
                <w:szCs w:val="17"/>
              </w:rPr>
            </w:pPr>
            <w:r w:rsidRPr="00494746">
              <w:rPr>
                <w:rFonts w:ascii="Arial" w:hAnsi="Arial" w:cs="Arial"/>
                <w:color w:val="000000"/>
                <w:sz w:val="17"/>
                <w:szCs w:val="17"/>
              </w:rPr>
              <w:t>35,683</w:t>
            </w:r>
          </w:p>
        </w:tc>
        <w:tc>
          <w:tcPr>
            <w:tcW w:w="1540" w:type="dxa"/>
            <w:tcBorders>
              <w:top w:val="nil"/>
              <w:left w:val="nil"/>
              <w:bottom w:val="single" w:sz="4" w:space="0" w:color="auto"/>
              <w:right w:val="single" w:sz="4" w:space="0" w:color="auto"/>
            </w:tcBorders>
            <w:shd w:val="clear" w:color="auto" w:fill="auto"/>
            <w:vAlign w:val="center"/>
            <w:hideMark/>
          </w:tcPr>
          <w:p w:rsidR="00494746" w:rsidRPr="00494746" w:rsidRDefault="00494746" w:rsidP="00494746">
            <w:pPr>
              <w:jc w:val="right"/>
              <w:rPr>
                <w:rFonts w:ascii="Arial" w:hAnsi="Arial" w:cs="Arial"/>
                <w:color w:val="000000"/>
                <w:sz w:val="17"/>
                <w:szCs w:val="17"/>
              </w:rPr>
            </w:pPr>
            <w:r w:rsidRPr="00494746">
              <w:rPr>
                <w:rFonts w:ascii="Arial" w:hAnsi="Arial" w:cs="Arial"/>
                <w:color w:val="000000"/>
                <w:sz w:val="17"/>
                <w:szCs w:val="17"/>
              </w:rPr>
              <w:t>35,683</w:t>
            </w:r>
          </w:p>
        </w:tc>
      </w:tr>
      <w:tr w:rsidR="00494746" w:rsidRPr="00494746" w:rsidTr="0049474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494746" w:rsidRPr="00494746" w:rsidRDefault="00494746" w:rsidP="00494746">
            <w:pPr>
              <w:rPr>
                <w:rFonts w:ascii="Arial" w:hAnsi="Arial" w:cs="Arial"/>
                <w:color w:val="000000"/>
                <w:sz w:val="17"/>
                <w:szCs w:val="17"/>
              </w:rPr>
            </w:pPr>
            <w:r w:rsidRPr="00494746">
              <w:rPr>
                <w:rFonts w:ascii="Arial" w:hAnsi="Arial" w:cs="Arial"/>
                <w:color w:val="000000"/>
                <w:sz w:val="17"/>
                <w:szCs w:val="17"/>
              </w:rPr>
              <w:t>PROGRAMA RAHI</w:t>
            </w:r>
          </w:p>
        </w:tc>
        <w:tc>
          <w:tcPr>
            <w:tcW w:w="1540" w:type="dxa"/>
            <w:tcBorders>
              <w:top w:val="nil"/>
              <w:left w:val="nil"/>
              <w:bottom w:val="single" w:sz="4" w:space="0" w:color="auto"/>
              <w:right w:val="single" w:sz="4" w:space="0" w:color="auto"/>
            </w:tcBorders>
            <w:shd w:val="clear" w:color="auto" w:fill="auto"/>
            <w:vAlign w:val="center"/>
            <w:hideMark/>
          </w:tcPr>
          <w:p w:rsidR="00494746" w:rsidRPr="00494746" w:rsidRDefault="00494746" w:rsidP="00494746">
            <w:pPr>
              <w:jc w:val="right"/>
              <w:rPr>
                <w:rFonts w:ascii="Arial" w:hAnsi="Arial" w:cs="Arial"/>
                <w:color w:val="000000"/>
                <w:sz w:val="17"/>
                <w:szCs w:val="17"/>
              </w:rPr>
            </w:pPr>
            <w:r w:rsidRPr="00494746">
              <w:rPr>
                <w:rFonts w:ascii="Arial" w:hAnsi="Arial" w:cs="Arial"/>
                <w:color w:val="000000"/>
                <w:sz w:val="17"/>
                <w:szCs w:val="17"/>
              </w:rPr>
              <w:t>1,908,888</w:t>
            </w:r>
          </w:p>
        </w:tc>
        <w:tc>
          <w:tcPr>
            <w:tcW w:w="1540" w:type="dxa"/>
            <w:tcBorders>
              <w:top w:val="nil"/>
              <w:left w:val="nil"/>
              <w:bottom w:val="single" w:sz="4" w:space="0" w:color="auto"/>
              <w:right w:val="single" w:sz="4" w:space="0" w:color="auto"/>
            </w:tcBorders>
            <w:shd w:val="clear" w:color="auto" w:fill="auto"/>
            <w:vAlign w:val="center"/>
            <w:hideMark/>
          </w:tcPr>
          <w:p w:rsidR="00494746" w:rsidRPr="00494746" w:rsidRDefault="00494746" w:rsidP="00494746">
            <w:pPr>
              <w:jc w:val="right"/>
              <w:rPr>
                <w:rFonts w:ascii="Arial" w:hAnsi="Arial" w:cs="Arial"/>
                <w:color w:val="000000"/>
                <w:sz w:val="17"/>
                <w:szCs w:val="17"/>
              </w:rPr>
            </w:pPr>
            <w:r w:rsidRPr="00494746">
              <w:rPr>
                <w:rFonts w:ascii="Arial" w:hAnsi="Arial" w:cs="Arial"/>
                <w:color w:val="000000"/>
                <w:sz w:val="17"/>
                <w:szCs w:val="17"/>
              </w:rPr>
              <w:t>1,883,780</w:t>
            </w:r>
          </w:p>
        </w:tc>
      </w:tr>
      <w:tr w:rsidR="00494746" w:rsidRPr="00494746" w:rsidTr="00494746">
        <w:trPr>
          <w:trHeight w:val="300"/>
        </w:trPr>
        <w:tc>
          <w:tcPr>
            <w:tcW w:w="2260" w:type="dxa"/>
            <w:tcBorders>
              <w:top w:val="nil"/>
              <w:left w:val="single" w:sz="4" w:space="0" w:color="auto"/>
              <w:bottom w:val="single" w:sz="4" w:space="0" w:color="auto"/>
              <w:right w:val="single" w:sz="4" w:space="0" w:color="auto"/>
            </w:tcBorders>
            <w:shd w:val="clear" w:color="000000" w:fill="BFBFBF"/>
            <w:vAlign w:val="center"/>
            <w:hideMark/>
          </w:tcPr>
          <w:p w:rsidR="00494746" w:rsidRPr="00494746" w:rsidRDefault="00494746" w:rsidP="00494746">
            <w:pPr>
              <w:jc w:val="center"/>
              <w:rPr>
                <w:rFonts w:ascii="Arial" w:hAnsi="Arial" w:cs="Arial"/>
                <w:b/>
                <w:bCs/>
                <w:color w:val="000000"/>
                <w:sz w:val="17"/>
                <w:szCs w:val="17"/>
              </w:rPr>
            </w:pPr>
            <w:r w:rsidRPr="00494746">
              <w:rPr>
                <w:rFonts w:ascii="Arial" w:hAnsi="Arial" w:cs="Arial"/>
                <w:b/>
                <w:bCs/>
                <w:color w:val="000000"/>
                <w:sz w:val="17"/>
                <w:szCs w:val="17"/>
              </w:rPr>
              <w:t>Total</w:t>
            </w:r>
          </w:p>
        </w:tc>
        <w:tc>
          <w:tcPr>
            <w:tcW w:w="1540" w:type="dxa"/>
            <w:tcBorders>
              <w:top w:val="nil"/>
              <w:left w:val="nil"/>
              <w:bottom w:val="single" w:sz="4" w:space="0" w:color="auto"/>
              <w:right w:val="single" w:sz="4" w:space="0" w:color="auto"/>
            </w:tcBorders>
            <w:shd w:val="clear" w:color="000000" w:fill="BFBFBF"/>
            <w:vAlign w:val="center"/>
            <w:hideMark/>
          </w:tcPr>
          <w:p w:rsidR="00494746" w:rsidRPr="00494746" w:rsidRDefault="00494746" w:rsidP="00494746">
            <w:pPr>
              <w:jc w:val="right"/>
              <w:rPr>
                <w:rFonts w:ascii="Arial" w:hAnsi="Arial" w:cs="Arial"/>
                <w:b/>
                <w:bCs/>
                <w:color w:val="000000"/>
                <w:sz w:val="17"/>
                <w:szCs w:val="17"/>
              </w:rPr>
            </w:pPr>
            <w:r w:rsidRPr="00494746">
              <w:rPr>
                <w:rFonts w:ascii="Arial" w:hAnsi="Arial" w:cs="Arial"/>
                <w:b/>
                <w:bCs/>
                <w:color w:val="000000"/>
                <w:sz w:val="17"/>
                <w:szCs w:val="17"/>
              </w:rPr>
              <w:t>1,944,572</w:t>
            </w:r>
          </w:p>
        </w:tc>
        <w:tc>
          <w:tcPr>
            <w:tcW w:w="1540" w:type="dxa"/>
            <w:tcBorders>
              <w:top w:val="nil"/>
              <w:left w:val="nil"/>
              <w:bottom w:val="single" w:sz="4" w:space="0" w:color="auto"/>
              <w:right w:val="single" w:sz="4" w:space="0" w:color="auto"/>
            </w:tcBorders>
            <w:shd w:val="clear" w:color="000000" w:fill="BFBFBF"/>
            <w:vAlign w:val="center"/>
            <w:hideMark/>
          </w:tcPr>
          <w:p w:rsidR="00494746" w:rsidRPr="00494746" w:rsidRDefault="00494746" w:rsidP="00494746">
            <w:pPr>
              <w:jc w:val="right"/>
              <w:rPr>
                <w:rFonts w:ascii="Arial" w:hAnsi="Arial" w:cs="Arial"/>
                <w:b/>
                <w:bCs/>
                <w:color w:val="000000"/>
                <w:sz w:val="17"/>
                <w:szCs w:val="17"/>
              </w:rPr>
            </w:pPr>
            <w:r w:rsidRPr="00494746">
              <w:rPr>
                <w:rFonts w:ascii="Arial" w:hAnsi="Arial" w:cs="Arial"/>
                <w:b/>
                <w:bCs/>
                <w:color w:val="000000"/>
                <w:sz w:val="17"/>
                <w:szCs w:val="17"/>
              </w:rPr>
              <w:t>1,919,464</w:t>
            </w:r>
          </w:p>
        </w:tc>
      </w:tr>
    </w:tbl>
    <w:p w:rsidR="00F71E5C" w:rsidRPr="00BA272D" w:rsidRDefault="00494746" w:rsidP="00F71E5C">
      <w:pPr>
        <w:spacing w:before="80" w:line="250" w:lineRule="exact"/>
        <w:ind w:firstLine="709"/>
        <w:jc w:val="both"/>
        <w:rPr>
          <w:rFonts w:ascii="Arial" w:eastAsia="Calibri" w:hAnsi="Arial" w:cs="Arial"/>
          <w:spacing w:val="-1"/>
          <w:sz w:val="17"/>
          <w:szCs w:val="17"/>
        </w:rPr>
      </w:pPr>
      <w:r>
        <w:rPr>
          <w:rFonts w:ascii="Arial" w:eastAsia="Calibri" w:hAnsi="Arial" w:cs="Arial"/>
          <w:spacing w:val="-1"/>
          <w:sz w:val="17"/>
          <w:szCs w:val="17"/>
        </w:rPr>
        <w:fldChar w:fldCharType="end"/>
      </w:r>
    </w:p>
    <w:p w:rsidR="00F71E5C" w:rsidRPr="00BA272D" w:rsidRDefault="00F71E5C" w:rsidP="00E13707">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el saldo del rubro Provisiones a Largo Plazo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autoSpaceDE w:val="0"/>
        <w:autoSpaceDN w:val="0"/>
        <w:adjustRightInd w:val="0"/>
        <w:spacing w:before="240"/>
        <w:ind w:left="36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6232" w:type="dxa"/>
        <w:jc w:val="center"/>
        <w:tblCellMar>
          <w:left w:w="70" w:type="dxa"/>
          <w:right w:w="70" w:type="dxa"/>
        </w:tblCellMar>
        <w:tblLook w:val="04A0" w:firstRow="1" w:lastRow="0" w:firstColumn="1" w:lastColumn="0" w:noHBand="0" w:noVBand="1"/>
      </w:tblPr>
      <w:tblGrid>
        <w:gridCol w:w="3188"/>
        <w:gridCol w:w="1485"/>
        <w:gridCol w:w="1559"/>
      </w:tblGrid>
      <w:tr w:rsidR="00F71E5C" w:rsidRPr="00BA272D" w:rsidTr="00E13707">
        <w:trPr>
          <w:trHeight w:val="480"/>
          <w:jc w:val="center"/>
        </w:trPr>
        <w:tc>
          <w:tcPr>
            <w:tcW w:w="3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1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E13707">
        <w:trPr>
          <w:trHeight w:val="240"/>
          <w:jc w:val="center"/>
        </w:trPr>
        <w:tc>
          <w:tcPr>
            <w:tcW w:w="3188"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sz w:val="17"/>
                <w:szCs w:val="17"/>
              </w:rPr>
            </w:pPr>
            <w:r w:rsidRPr="00BA272D">
              <w:rPr>
                <w:rFonts w:ascii="Arial" w:hAnsi="Arial" w:cs="Arial"/>
                <w:sz w:val="17"/>
                <w:szCs w:val="17"/>
              </w:rPr>
              <w:t>Provisión para Pensiones a Largo Plazo</w:t>
            </w:r>
          </w:p>
        </w:tc>
        <w:tc>
          <w:tcPr>
            <w:tcW w:w="1485"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358,559,459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158,189,478 </w:t>
            </w:r>
          </w:p>
        </w:tc>
      </w:tr>
    </w:tbl>
    <w:p w:rsidR="00F71E5C" w:rsidRDefault="00F71E5C"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1F6631" w:rsidRPr="00BA272D" w:rsidRDefault="001F6631" w:rsidP="00F71E5C">
      <w:pPr>
        <w:pStyle w:val="Prrafodelista"/>
        <w:autoSpaceDE w:val="0"/>
        <w:autoSpaceDN w:val="0"/>
        <w:adjustRightInd w:val="0"/>
        <w:spacing w:before="240" w:after="120"/>
        <w:ind w:left="709"/>
        <w:jc w:val="both"/>
        <w:rPr>
          <w:rFonts w:ascii="Arial" w:hAnsi="Arial" w:cs="Arial"/>
          <w:sz w:val="17"/>
          <w:szCs w:val="17"/>
        </w:rPr>
      </w:pPr>
    </w:p>
    <w:p w:rsidR="00F71E5C" w:rsidRPr="00BA272D" w:rsidRDefault="00F71E5C" w:rsidP="00C70D05">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lastRenderedPageBreak/>
        <w:t>Notas al Estado de Actividades</w:t>
      </w:r>
    </w:p>
    <w:p w:rsidR="00F71E5C" w:rsidRPr="00BA272D" w:rsidRDefault="00F71E5C" w:rsidP="00C70D05">
      <w:pPr>
        <w:pStyle w:val="Prrafodelista"/>
        <w:autoSpaceDE w:val="0"/>
        <w:autoSpaceDN w:val="0"/>
        <w:adjustRightInd w:val="0"/>
        <w:spacing w:before="240" w:after="120"/>
        <w:ind w:left="851"/>
        <w:jc w:val="both"/>
        <w:rPr>
          <w:rFonts w:ascii="Arial" w:hAnsi="Arial" w:cs="Arial"/>
          <w:b/>
          <w:sz w:val="17"/>
          <w:szCs w:val="17"/>
        </w:rPr>
      </w:pPr>
    </w:p>
    <w:p w:rsidR="00F71E5C" w:rsidRPr="00BA272D" w:rsidRDefault="00F71E5C" w:rsidP="00C70D05">
      <w:pPr>
        <w:pStyle w:val="Prrafodelista"/>
        <w:numPr>
          <w:ilvl w:val="0"/>
          <w:numId w:val="12"/>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t>Ingresos de gestión</w:t>
      </w:r>
    </w:p>
    <w:p w:rsidR="00C70D05" w:rsidRPr="00BA272D" w:rsidRDefault="00F71E5C" w:rsidP="001F6631">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De los rubros de impuestos, cuotas y aportaciones de seguridad social, contribuciones de mejoras, derechos, productos, aprovechamientos, y de ingresos por venta de bienes y prestación de servicios, se informa los montos totales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spacing w:before="80" w:line="250" w:lineRule="exact"/>
        <w:ind w:left="709"/>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7508" w:type="dxa"/>
        <w:jc w:val="center"/>
        <w:tblCellMar>
          <w:left w:w="70" w:type="dxa"/>
          <w:right w:w="70" w:type="dxa"/>
        </w:tblCellMar>
        <w:tblLook w:val="04A0" w:firstRow="1" w:lastRow="0" w:firstColumn="1" w:lastColumn="0" w:noHBand="0" w:noVBand="1"/>
      </w:tblPr>
      <w:tblGrid>
        <w:gridCol w:w="4248"/>
        <w:gridCol w:w="1417"/>
        <w:gridCol w:w="1843"/>
      </w:tblGrid>
      <w:tr w:rsidR="00F71E5C" w:rsidRPr="00BA272D" w:rsidTr="005750DA">
        <w:trPr>
          <w:trHeight w:val="283"/>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 de ingresos: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5750DA">
        <w:trPr>
          <w:trHeight w:val="273"/>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FB1EEE" w:rsidRPr="00BA272D" w:rsidRDefault="00FB1EEE" w:rsidP="00FB1EEE">
            <w:pPr>
              <w:rPr>
                <w:rFonts w:ascii="Arial" w:hAnsi="Arial" w:cs="Arial"/>
                <w:b/>
                <w:sz w:val="17"/>
                <w:szCs w:val="17"/>
              </w:rPr>
            </w:pPr>
            <w:r w:rsidRPr="00BA272D">
              <w:rPr>
                <w:rFonts w:ascii="Arial" w:hAnsi="Arial" w:cs="Arial"/>
                <w:b/>
                <w:sz w:val="17"/>
                <w:szCs w:val="17"/>
              </w:rPr>
              <w:t>Impuestos</w:t>
            </w:r>
          </w:p>
        </w:tc>
        <w:tc>
          <w:tcPr>
            <w:tcW w:w="1417"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3,406,727,471 </w:t>
            </w:r>
          </w:p>
        </w:tc>
        <w:tc>
          <w:tcPr>
            <w:tcW w:w="1843" w:type="dxa"/>
            <w:tcBorders>
              <w:top w:val="single" w:sz="4" w:space="0" w:color="auto"/>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2,747,999,288 </w:t>
            </w:r>
          </w:p>
        </w:tc>
      </w:tr>
      <w:tr w:rsidR="00FB1EEE" w:rsidRPr="00BA272D" w:rsidTr="005750DA">
        <w:trPr>
          <w:trHeight w:val="241"/>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Impuestos Sobre los Ingresos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14,620,940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27,077,214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Impuestos Sobre el Patrimonio</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516,962,193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317,789,853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Impuestos Sobre la Producción, el Consumo y las Transacciones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150,551,245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113,810,948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Impuestos Sobre Nóminas y Asimilables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2,607,887,108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2,253,037,521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Accesorios de Impuestos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116,355,407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36,176,584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Otros Impuestos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350,577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107,168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b/>
                <w:sz w:val="17"/>
                <w:szCs w:val="17"/>
              </w:rPr>
            </w:pPr>
            <w:r w:rsidRPr="00BA272D">
              <w:rPr>
                <w:rFonts w:ascii="Arial" w:hAnsi="Arial" w:cs="Arial"/>
                <w:b/>
                <w:sz w:val="17"/>
                <w:szCs w:val="17"/>
              </w:rPr>
              <w:t>Cuotas y Aportaciones de Seguridad Social</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b/>
                <w:sz w:val="17"/>
                <w:szCs w:val="17"/>
              </w:rPr>
            </w:pPr>
            <w:r w:rsidRPr="00BA272D">
              <w:rPr>
                <w:rFonts w:ascii="Arial" w:hAnsi="Arial" w:cs="Arial"/>
                <w:b/>
                <w:sz w:val="17"/>
                <w:szCs w:val="17"/>
              </w:rPr>
              <w:t>Contribuciones de Mejoras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b/>
                <w:sz w:val="17"/>
                <w:szCs w:val="17"/>
              </w:rPr>
            </w:pPr>
            <w:r w:rsidRPr="00BA272D">
              <w:rPr>
                <w:rFonts w:ascii="Arial" w:hAnsi="Arial" w:cs="Arial"/>
                <w:b/>
                <w:sz w:val="17"/>
                <w:szCs w:val="17"/>
              </w:rPr>
              <w:t>Derechos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1,713,534,578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1,279,979,064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Derechos por el Uso, Goce, Aprovechamiento o Explotación de Bienes de Dominio Público</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2,093,210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3,982,397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Derechos por Prestación de Servicios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1,659,773,081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1,257,884,699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Accesorios de Derechos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51,668,287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18,111,968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b/>
                <w:sz w:val="17"/>
                <w:szCs w:val="17"/>
              </w:rPr>
            </w:pPr>
            <w:r w:rsidRPr="00BA272D">
              <w:rPr>
                <w:rFonts w:ascii="Arial" w:hAnsi="Arial" w:cs="Arial"/>
                <w:b/>
                <w:sz w:val="17"/>
                <w:szCs w:val="17"/>
              </w:rPr>
              <w:t>Productos de Tipo Corriente</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234,497,047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388,276,128 </w:t>
            </w:r>
          </w:p>
        </w:tc>
      </w:tr>
      <w:tr w:rsidR="00FB1EEE" w:rsidRPr="00BA272D" w:rsidTr="005750DA">
        <w:trPr>
          <w:trHeight w:val="104"/>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Productos Derivados del Uso y Aprovechamiento de Bienes no Sujetos a Régimen de Dominio Público</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234,497,047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388,276,128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Otros Productos que Generan Ingresos Corrientes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b/>
                <w:sz w:val="17"/>
                <w:szCs w:val="17"/>
              </w:rPr>
            </w:pPr>
            <w:r w:rsidRPr="00BA272D">
              <w:rPr>
                <w:rFonts w:ascii="Arial" w:hAnsi="Arial" w:cs="Arial"/>
                <w:b/>
                <w:sz w:val="17"/>
                <w:szCs w:val="17"/>
              </w:rPr>
              <w:t>Aprovechamientos de Tipo Corriente</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228,053,012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151,067,937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Incentivos Derivados de la Colaboración Fiscal</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Multas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159,485,503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120,753,074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Indemnizaciones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1,277,734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1,055,615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Aprovechamientos Provenientes de Obras Públicas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16,498,365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2,779,546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Otros Aprovechamientos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50,791,409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26,479,702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rPr>
                <w:rFonts w:ascii="Arial" w:hAnsi="Arial" w:cs="Arial"/>
                <w:b/>
                <w:sz w:val="17"/>
                <w:szCs w:val="17"/>
              </w:rPr>
            </w:pPr>
            <w:r w:rsidRPr="00BA272D">
              <w:rPr>
                <w:rFonts w:ascii="Arial" w:hAnsi="Arial" w:cs="Arial"/>
                <w:b/>
                <w:sz w:val="17"/>
                <w:szCs w:val="17"/>
              </w:rPr>
              <w:t>Ingresos por Venta de Bienes y Servicios</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5750DA">
        <w:trPr>
          <w:trHeight w:val="238"/>
          <w:jc w:val="center"/>
        </w:trPr>
        <w:tc>
          <w:tcPr>
            <w:tcW w:w="4248" w:type="dxa"/>
            <w:tcBorders>
              <w:top w:val="nil"/>
              <w:left w:val="single" w:sz="4" w:space="0" w:color="auto"/>
              <w:bottom w:val="single" w:sz="4" w:space="0" w:color="auto"/>
              <w:right w:val="single" w:sz="4" w:space="0" w:color="auto"/>
            </w:tcBorders>
            <w:shd w:val="clear" w:color="auto" w:fill="auto"/>
          </w:tcPr>
          <w:p w:rsidR="00FB1EEE" w:rsidRPr="00BA272D" w:rsidRDefault="00FB1EEE" w:rsidP="00FB1EEE">
            <w:pPr>
              <w:ind w:left="634"/>
              <w:rPr>
                <w:rFonts w:ascii="Arial" w:hAnsi="Arial" w:cs="Arial"/>
                <w:sz w:val="17"/>
                <w:szCs w:val="17"/>
              </w:rPr>
            </w:pPr>
            <w:r w:rsidRPr="00BA272D">
              <w:rPr>
                <w:rFonts w:ascii="Arial" w:hAnsi="Arial" w:cs="Arial"/>
                <w:sz w:val="17"/>
                <w:szCs w:val="17"/>
              </w:rPr>
              <w:t>Ingresos por Venta de Bienes y Servicios Producidos en Establecimientos del Gobierno</w:t>
            </w:r>
          </w:p>
        </w:tc>
        <w:tc>
          <w:tcPr>
            <w:tcW w:w="1417"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1843" w:type="dxa"/>
            <w:tcBorders>
              <w:top w:val="nil"/>
              <w:left w:val="nil"/>
              <w:bottom w:val="single" w:sz="4" w:space="0" w:color="auto"/>
              <w:right w:val="single" w:sz="4" w:space="0" w:color="auto"/>
            </w:tcBorders>
            <w:shd w:val="clear" w:color="auto" w:fill="auto"/>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5750DA">
        <w:trPr>
          <w:trHeight w:val="238"/>
          <w:jc w:val="center"/>
        </w:trPr>
        <w:tc>
          <w:tcPr>
            <w:tcW w:w="424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FB1EEE" w:rsidRPr="00BA272D" w:rsidRDefault="00FB1EEE" w:rsidP="00FB1EEE">
            <w:pPr>
              <w:jc w:val="center"/>
              <w:rPr>
                <w:rFonts w:ascii="Arial" w:hAnsi="Arial" w:cs="Arial"/>
                <w:b/>
                <w:bCs/>
                <w:color w:val="000000"/>
                <w:sz w:val="17"/>
                <w:szCs w:val="17"/>
              </w:rPr>
            </w:pPr>
            <w:r w:rsidRPr="00BA272D">
              <w:rPr>
                <w:rFonts w:ascii="Arial" w:hAnsi="Arial" w:cs="Arial"/>
                <w:b/>
                <w:bCs/>
                <w:color w:val="000000"/>
                <w:sz w:val="17"/>
                <w:szCs w:val="17"/>
              </w:rPr>
              <w:t>Ingresos de Gestión</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5,582,812,109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rsidR="00FB1EEE" w:rsidRPr="00BA272D" w:rsidRDefault="00FB1EEE" w:rsidP="00FB1EEE">
            <w:pPr>
              <w:jc w:val="right"/>
              <w:rPr>
                <w:rFonts w:ascii="Arial" w:hAnsi="Arial" w:cs="Arial"/>
                <w:b/>
                <w:sz w:val="17"/>
                <w:szCs w:val="17"/>
              </w:rPr>
            </w:pPr>
            <w:r w:rsidRPr="00BA272D">
              <w:rPr>
                <w:rFonts w:ascii="Arial" w:hAnsi="Arial" w:cs="Arial"/>
                <w:b/>
                <w:sz w:val="17"/>
                <w:szCs w:val="17"/>
              </w:rPr>
              <w:t xml:space="preserve"> 4,567,322,417 </w:t>
            </w:r>
          </w:p>
        </w:tc>
      </w:tr>
    </w:tbl>
    <w:p w:rsidR="004E5747" w:rsidRDefault="004E5747" w:rsidP="00327978">
      <w:pPr>
        <w:spacing w:before="80" w:line="250" w:lineRule="exact"/>
        <w:ind w:left="709" w:hanging="1"/>
        <w:jc w:val="both"/>
        <w:rPr>
          <w:rFonts w:ascii="Arial" w:eastAsia="Calibri" w:hAnsi="Arial" w:cs="Arial"/>
          <w:spacing w:val="-1"/>
          <w:sz w:val="17"/>
          <w:szCs w:val="17"/>
        </w:rPr>
      </w:pPr>
    </w:p>
    <w:p w:rsidR="00F71E5C" w:rsidRDefault="004E5747" w:rsidP="009C5FBD">
      <w:pPr>
        <w:spacing w:before="80" w:line="250" w:lineRule="exact"/>
        <w:ind w:left="851"/>
        <w:jc w:val="both"/>
        <w:rPr>
          <w:rFonts w:ascii="Arial" w:eastAsia="Calibri" w:hAnsi="Arial" w:cs="Arial"/>
          <w:spacing w:val="-1"/>
          <w:sz w:val="17"/>
          <w:szCs w:val="17"/>
        </w:rPr>
      </w:pPr>
      <w:r>
        <w:rPr>
          <w:rFonts w:ascii="Arial" w:eastAsia="Calibri" w:hAnsi="Arial" w:cs="Arial"/>
          <w:spacing w:val="-1"/>
          <w:sz w:val="17"/>
          <w:szCs w:val="17"/>
        </w:rPr>
        <w:lastRenderedPageBreak/>
        <w:t>Lo</w:t>
      </w:r>
      <w:r w:rsidR="00F71E5C" w:rsidRPr="00BA272D">
        <w:rPr>
          <w:rFonts w:ascii="Arial" w:eastAsia="Calibri" w:hAnsi="Arial" w:cs="Arial"/>
          <w:spacing w:val="-1"/>
          <w:sz w:val="17"/>
          <w:szCs w:val="17"/>
        </w:rPr>
        <w:t xml:space="preserve">s ingresos de gestión reflejan un incremento del </w:t>
      </w:r>
      <w:r w:rsidR="003E0C09" w:rsidRPr="00BA272D">
        <w:rPr>
          <w:rFonts w:ascii="Arial" w:eastAsia="Calibri" w:hAnsi="Arial" w:cs="Arial"/>
          <w:spacing w:val="-1"/>
          <w:sz w:val="17"/>
          <w:szCs w:val="17"/>
        </w:rPr>
        <w:t>22</w:t>
      </w:r>
      <w:r w:rsidR="00F71E5C" w:rsidRPr="00BA272D">
        <w:rPr>
          <w:rFonts w:ascii="Arial" w:eastAsia="Calibri" w:hAnsi="Arial" w:cs="Arial"/>
          <w:spacing w:val="-1"/>
          <w:sz w:val="17"/>
          <w:szCs w:val="17"/>
        </w:rPr>
        <w:t xml:space="preserve">% derivado principalmente del aumento en la recaudación por </w:t>
      </w:r>
      <w:r w:rsidR="00327978">
        <w:rPr>
          <w:rFonts w:ascii="Arial" w:eastAsia="Calibri" w:hAnsi="Arial" w:cs="Arial"/>
          <w:spacing w:val="-1"/>
          <w:sz w:val="17"/>
          <w:szCs w:val="17"/>
        </w:rPr>
        <w:t xml:space="preserve">concepto de Impuestos y Derechos, </w:t>
      </w:r>
      <w:r w:rsidR="00034E9F">
        <w:rPr>
          <w:rFonts w:ascii="Arial" w:eastAsia="Calibri" w:hAnsi="Arial" w:cs="Arial"/>
          <w:spacing w:val="-1"/>
          <w:sz w:val="17"/>
          <w:szCs w:val="17"/>
        </w:rPr>
        <w:t>derivado</w:t>
      </w:r>
      <w:r w:rsidR="00327978">
        <w:rPr>
          <w:rFonts w:ascii="Arial" w:eastAsia="Calibri" w:hAnsi="Arial" w:cs="Arial"/>
          <w:spacing w:val="-1"/>
          <w:sz w:val="17"/>
          <w:szCs w:val="17"/>
        </w:rPr>
        <w:t xml:space="preserve"> del programa de regularización de tenencia</w:t>
      </w:r>
      <w:r w:rsidR="00F71E5C" w:rsidRPr="00BA272D">
        <w:rPr>
          <w:rFonts w:ascii="Arial" w:eastAsia="Calibri" w:hAnsi="Arial" w:cs="Arial"/>
          <w:spacing w:val="-1"/>
          <w:sz w:val="17"/>
          <w:szCs w:val="17"/>
        </w:rPr>
        <w:t>.</w:t>
      </w:r>
    </w:p>
    <w:p w:rsidR="00DE52CF" w:rsidRDefault="00DE52CF" w:rsidP="00DE52CF">
      <w:pPr>
        <w:spacing w:before="80" w:line="250" w:lineRule="exact"/>
        <w:ind w:left="851" w:right="-1559"/>
        <w:jc w:val="both"/>
        <w:rPr>
          <w:rFonts w:ascii="Arial" w:eastAsia="Calibri" w:hAnsi="Arial" w:cs="Arial"/>
          <w:spacing w:val="-1"/>
          <w:sz w:val="17"/>
          <w:szCs w:val="17"/>
        </w:rPr>
      </w:pPr>
    </w:p>
    <w:p w:rsidR="00F71E5C" w:rsidRDefault="00451EB0" w:rsidP="009C5FBD">
      <w:pPr>
        <w:pStyle w:val="Prrafodelista"/>
        <w:numPr>
          <w:ilvl w:val="0"/>
          <w:numId w:val="40"/>
        </w:numPr>
        <w:autoSpaceDE w:val="0"/>
        <w:autoSpaceDN w:val="0"/>
        <w:adjustRightInd w:val="0"/>
        <w:spacing w:before="80" w:after="120" w:line="250" w:lineRule="exact"/>
        <w:ind w:left="851" w:firstLine="0"/>
        <w:jc w:val="both"/>
        <w:rPr>
          <w:rFonts w:ascii="Arial" w:hAnsi="Arial" w:cs="Arial"/>
          <w:b/>
          <w:sz w:val="17"/>
          <w:szCs w:val="17"/>
        </w:rPr>
      </w:pPr>
      <w:r w:rsidRPr="00451EB0">
        <w:rPr>
          <w:rFonts w:ascii="Arial" w:hAnsi="Arial" w:cs="Arial"/>
          <w:b/>
          <w:sz w:val="17"/>
          <w:szCs w:val="17"/>
        </w:rPr>
        <w:t>Participaciones, Aportaciones, Convenios, Incentivos Derivados de la Colaboración Fiscal, Fondos Distintos de Aportaciones, Transferencias, Asignaciones, Subsidios y Subvenciones, y Pensiones y Jubilaciones</w:t>
      </w:r>
    </w:p>
    <w:p w:rsidR="00451EB0" w:rsidRPr="00BA272D" w:rsidRDefault="00451EB0" w:rsidP="009C5FBD">
      <w:pPr>
        <w:pStyle w:val="Prrafodelista"/>
        <w:autoSpaceDE w:val="0"/>
        <w:autoSpaceDN w:val="0"/>
        <w:adjustRightInd w:val="0"/>
        <w:spacing w:before="80" w:after="120" w:line="250" w:lineRule="exact"/>
        <w:ind w:left="851"/>
        <w:jc w:val="both"/>
        <w:rPr>
          <w:rFonts w:ascii="Arial" w:hAnsi="Arial" w:cs="Arial"/>
          <w:b/>
          <w:sz w:val="17"/>
          <w:szCs w:val="17"/>
        </w:rPr>
      </w:pPr>
    </w:p>
    <w:p w:rsidR="00F71E5C" w:rsidRPr="00BA272D" w:rsidRDefault="00F71E5C" w:rsidP="009C5FBD">
      <w:pPr>
        <w:pStyle w:val="Prrafodelista"/>
        <w:autoSpaceDE w:val="0"/>
        <w:autoSpaceDN w:val="0"/>
        <w:adjustRightInd w:val="0"/>
        <w:spacing w:before="80" w:after="12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De las cuentas de participaciones, aportaciones, convenios, incentivos derivados de la colaboración fiscal, fondos distintos de aportaciones, transferencias, asignaciones, subsidios y subvenciones, y pensiones y jubilaciones, se informa los montos totales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DE52CF" w:rsidRDefault="00DE52CF" w:rsidP="00F71E5C">
      <w:pPr>
        <w:spacing w:before="80" w:line="250" w:lineRule="exact"/>
        <w:ind w:left="709"/>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pPr w:leftFromText="141" w:rightFromText="141" w:vertAnchor="text" w:horzAnchor="page" w:tblpX="3326" w:tblpY="192"/>
        <w:tblW w:w="8272" w:type="dxa"/>
        <w:tblCellMar>
          <w:left w:w="70" w:type="dxa"/>
          <w:right w:w="70" w:type="dxa"/>
        </w:tblCellMar>
        <w:tblLook w:val="04A0" w:firstRow="1" w:lastRow="0" w:firstColumn="1" w:lastColumn="0" w:noHBand="0" w:noVBand="1"/>
      </w:tblPr>
      <w:tblGrid>
        <w:gridCol w:w="4248"/>
        <w:gridCol w:w="1844"/>
        <w:gridCol w:w="2180"/>
      </w:tblGrid>
      <w:tr w:rsidR="00DE52CF" w:rsidRPr="00BA272D" w:rsidTr="00DE52CF">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52CF" w:rsidRPr="00BA272D" w:rsidRDefault="00DE52CF" w:rsidP="00DE52CF">
            <w:pPr>
              <w:jc w:val="center"/>
              <w:rPr>
                <w:rFonts w:ascii="Arial" w:hAnsi="Arial" w:cs="Arial"/>
                <w:b/>
                <w:bCs/>
                <w:color w:val="000000"/>
                <w:sz w:val="17"/>
                <w:szCs w:val="17"/>
              </w:rPr>
            </w:pPr>
            <w:r w:rsidRPr="00BA272D">
              <w:rPr>
                <w:rFonts w:ascii="Arial" w:hAnsi="Arial" w:cs="Arial"/>
                <w:b/>
                <w:bCs/>
                <w:color w:val="000000"/>
                <w:sz w:val="17"/>
                <w:szCs w:val="17"/>
              </w:rPr>
              <w:t>Cuenta de ingresos:</w:t>
            </w:r>
          </w:p>
        </w:tc>
        <w:tc>
          <w:tcPr>
            <w:tcW w:w="18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E52CF" w:rsidRPr="00BA272D" w:rsidRDefault="00DE52CF" w:rsidP="00DE52CF">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E52CF" w:rsidRPr="00BA272D" w:rsidRDefault="00DE52CF" w:rsidP="00DE52CF">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DE52CF" w:rsidRPr="00BA272D" w:rsidTr="00DE52CF">
        <w:trPr>
          <w:trHeight w:val="27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DE52CF" w:rsidRPr="00BA272D" w:rsidRDefault="00DE52CF" w:rsidP="00DE52CF">
            <w:pPr>
              <w:rPr>
                <w:rFonts w:ascii="Arial" w:hAnsi="Arial" w:cs="Arial"/>
                <w:b/>
                <w:sz w:val="17"/>
                <w:szCs w:val="17"/>
              </w:rPr>
            </w:pPr>
            <w:r w:rsidRPr="00BA272D">
              <w:rPr>
                <w:rFonts w:ascii="Arial" w:hAnsi="Arial" w:cs="Arial"/>
                <w:b/>
                <w:sz w:val="17"/>
                <w:szCs w:val="17"/>
              </w:rPr>
              <w:t>Participaciones</w:t>
            </w:r>
          </w:p>
        </w:tc>
        <w:tc>
          <w:tcPr>
            <w:tcW w:w="1844" w:type="dxa"/>
            <w:tcBorders>
              <w:top w:val="single" w:sz="4" w:space="0" w:color="auto"/>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16,211,541,519 </w:t>
            </w:r>
          </w:p>
        </w:tc>
        <w:tc>
          <w:tcPr>
            <w:tcW w:w="2180" w:type="dxa"/>
            <w:tcBorders>
              <w:top w:val="single" w:sz="4" w:space="0" w:color="auto"/>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15,272,957,067 </w:t>
            </w:r>
          </w:p>
        </w:tc>
      </w:tr>
      <w:tr w:rsidR="00DE52CF" w:rsidRPr="00BA272D" w:rsidTr="00DE52CF">
        <w:trPr>
          <w:trHeight w:val="240"/>
        </w:trPr>
        <w:tc>
          <w:tcPr>
            <w:tcW w:w="4248" w:type="dxa"/>
            <w:tcBorders>
              <w:top w:val="nil"/>
              <w:left w:val="single" w:sz="4" w:space="0" w:color="auto"/>
              <w:bottom w:val="single" w:sz="4" w:space="0" w:color="auto"/>
              <w:right w:val="single" w:sz="4" w:space="0" w:color="auto"/>
            </w:tcBorders>
            <w:shd w:val="clear" w:color="auto" w:fill="auto"/>
          </w:tcPr>
          <w:p w:rsidR="00DE52CF" w:rsidRPr="00BA272D" w:rsidRDefault="00DE52CF" w:rsidP="00DE52CF">
            <w:pPr>
              <w:rPr>
                <w:rFonts w:ascii="Arial" w:hAnsi="Arial" w:cs="Arial"/>
                <w:b/>
                <w:sz w:val="17"/>
                <w:szCs w:val="17"/>
              </w:rPr>
            </w:pPr>
            <w:r w:rsidRPr="00BA272D">
              <w:rPr>
                <w:rFonts w:ascii="Arial" w:hAnsi="Arial" w:cs="Arial"/>
                <w:b/>
                <w:sz w:val="17"/>
                <w:szCs w:val="17"/>
              </w:rPr>
              <w:t>Aportaciones</w:t>
            </w:r>
          </w:p>
        </w:tc>
        <w:tc>
          <w:tcPr>
            <w:tcW w:w="1844" w:type="dxa"/>
            <w:tcBorders>
              <w:top w:val="nil"/>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12,921,986,619 </w:t>
            </w:r>
          </w:p>
        </w:tc>
        <w:tc>
          <w:tcPr>
            <w:tcW w:w="2180" w:type="dxa"/>
            <w:tcBorders>
              <w:top w:val="nil"/>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12,643,507,565 </w:t>
            </w:r>
          </w:p>
        </w:tc>
      </w:tr>
      <w:tr w:rsidR="00DE52CF" w:rsidRPr="00BA272D" w:rsidTr="00DE52CF">
        <w:trPr>
          <w:trHeight w:val="240"/>
        </w:trPr>
        <w:tc>
          <w:tcPr>
            <w:tcW w:w="4248" w:type="dxa"/>
            <w:tcBorders>
              <w:top w:val="nil"/>
              <w:left w:val="single" w:sz="4" w:space="0" w:color="auto"/>
              <w:bottom w:val="single" w:sz="4" w:space="0" w:color="auto"/>
              <w:right w:val="single" w:sz="4" w:space="0" w:color="auto"/>
            </w:tcBorders>
            <w:shd w:val="clear" w:color="auto" w:fill="auto"/>
          </w:tcPr>
          <w:p w:rsidR="00DE52CF" w:rsidRPr="00BA272D" w:rsidRDefault="00DE52CF" w:rsidP="00DE52CF">
            <w:pPr>
              <w:rPr>
                <w:rFonts w:ascii="Arial" w:hAnsi="Arial" w:cs="Arial"/>
                <w:b/>
                <w:sz w:val="17"/>
                <w:szCs w:val="17"/>
              </w:rPr>
            </w:pPr>
            <w:r w:rsidRPr="00BA272D">
              <w:rPr>
                <w:rFonts w:ascii="Arial" w:hAnsi="Arial" w:cs="Arial"/>
                <w:b/>
                <w:sz w:val="17"/>
                <w:szCs w:val="17"/>
              </w:rPr>
              <w:t>Convenios</w:t>
            </w:r>
          </w:p>
        </w:tc>
        <w:tc>
          <w:tcPr>
            <w:tcW w:w="1844" w:type="dxa"/>
            <w:tcBorders>
              <w:top w:val="nil"/>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3,231,282,944 </w:t>
            </w:r>
          </w:p>
        </w:tc>
        <w:tc>
          <w:tcPr>
            <w:tcW w:w="2180" w:type="dxa"/>
            <w:tcBorders>
              <w:top w:val="nil"/>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3,474,327,501 </w:t>
            </w:r>
          </w:p>
        </w:tc>
      </w:tr>
      <w:tr w:rsidR="00DE52CF" w:rsidRPr="00BA272D" w:rsidTr="00DE52CF">
        <w:trPr>
          <w:trHeight w:val="240"/>
        </w:trPr>
        <w:tc>
          <w:tcPr>
            <w:tcW w:w="4248" w:type="dxa"/>
            <w:tcBorders>
              <w:top w:val="nil"/>
              <w:left w:val="single" w:sz="4" w:space="0" w:color="auto"/>
              <w:bottom w:val="single" w:sz="4" w:space="0" w:color="auto"/>
              <w:right w:val="single" w:sz="4" w:space="0" w:color="auto"/>
            </w:tcBorders>
            <w:shd w:val="clear" w:color="auto" w:fill="auto"/>
          </w:tcPr>
          <w:p w:rsidR="00DE52CF" w:rsidRPr="00BA272D" w:rsidRDefault="00DE52CF" w:rsidP="00DE52CF">
            <w:pPr>
              <w:rPr>
                <w:rFonts w:ascii="Arial" w:hAnsi="Arial" w:cs="Arial"/>
                <w:b/>
                <w:sz w:val="17"/>
                <w:szCs w:val="17"/>
              </w:rPr>
            </w:pPr>
            <w:r w:rsidRPr="00BA272D">
              <w:rPr>
                <w:rFonts w:ascii="Arial" w:hAnsi="Arial" w:cs="Arial"/>
                <w:b/>
                <w:sz w:val="17"/>
                <w:szCs w:val="17"/>
              </w:rPr>
              <w:t>Incentivos Derivados de la Colaboración Fiscal</w:t>
            </w:r>
          </w:p>
        </w:tc>
        <w:tc>
          <w:tcPr>
            <w:tcW w:w="1844" w:type="dxa"/>
            <w:tcBorders>
              <w:top w:val="nil"/>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1,649,398,894 </w:t>
            </w:r>
          </w:p>
        </w:tc>
        <w:tc>
          <w:tcPr>
            <w:tcW w:w="2180" w:type="dxa"/>
            <w:tcBorders>
              <w:top w:val="nil"/>
              <w:left w:val="nil"/>
              <w:bottom w:val="single" w:sz="4" w:space="0" w:color="auto"/>
              <w:right w:val="single" w:sz="4" w:space="0" w:color="auto"/>
            </w:tcBorders>
            <w:shd w:val="clear" w:color="auto" w:fill="auto"/>
          </w:tcPr>
          <w:p w:rsidR="00DE52CF" w:rsidRPr="00BA272D" w:rsidRDefault="00DE52CF" w:rsidP="00DE52CF">
            <w:pPr>
              <w:jc w:val="right"/>
              <w:rPr>
                <w:rFonts w:ascii="Arial" w:hAnsi="Arial" w:cs="Arial"/>
                <w:sz w:val="17"/>
                <w:szCs w:val="17"/>
              </w:rPr>
            </w:pPr>
            <w:r w:rsidRPr="00BA272D">
              <w:rPr>
                <w:rFonts w:ascii="Arial" w:hAnsi="Arial" w:cs="Arial"/>
                <w:sz w:val="17"/>
                <w:szCs w:val="17"/>
              </w:rPr>
              <w:t xml:space="preserve"> 1,738,650,911 </w:t>
            </w:r>
          </w:p>
        </w:tc>
      </w:tr>
      <w:tr w:rsidR="00DE52CF" w:rsidRPr="00BA272D" w:rsidTr="00DE52CF">
        <w:trPr>
          <w:trHeight w:val="240"/>
        </w:trPr>
        <w:tc>
          <w:tcPr>
            <w:tcW w:w="424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DE52CF" w:rsidRPr="00BA272D" w:rsidRDefault="00DE52CF" w:rsidP="00DE52CF">
            <w:pPr>
              <w:ind w:left="492" w:hanging="492"/>
              <w:jc w:val="center"/>
              <w:rPr>
                <w:rFonts w:ascii="Arial" w:hAnsi="Arial" w:cs="Arial"/>
                <w:b/>
                <w:bCs/>
                <w:color w:val="000000"/>
                <w:sz w:val="17"/>
                <w:szCs w:val="17"/>
              </w:rPr>
            </w:pPr>
            <w:r w:rsidRPr="00BA272D">
              <w:rPr>
                <w:rFonts w:ascii="Arial" w:hAnsi="Arial" w:cs="Arial"/>
                <w:b/>
                <w:bCs/>
                <w:color w:val="000000"/>
                <w:sz w:val="17"/>
                <w:szCs w:val="17"/>
              </w:rPr>
              <w:t xml:space="preserve">Total </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E52CF" w:rsidRPr="00BA272D" w:rsidRDefault="00DE52CF" w:rsidP="00DE52CF">
            <w:pPr>
              <w:ind w:left="492" w:hanging="492"/>
              <w:jc w:val="right"/>
              <w:rPr>
                <w:rFonts w:ascii="Arial" w:hAnsi="Arial" w:cs="Arial"/>
                <w:b/>
                <w:sz w:val="17"/>
                <w:szCs w:val="17"/>
              </w:rPr>
            </w:pPr>
            <w:r w:rsidRPr="00BA272D">
              <w:rPr>
                <w:rFonts w:ascii="Arial" w:hAnsi="Arial" w:cs="Arial"/>
                <w:b/>
                <w:sz w:val="17"/>
                <w:szCs w:val="17"/>
              </w:rPr>
              <w:t xml:space="preserve"> 34,014,209,977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DE52CF" w:rsidRPr="00BA272D" w:rsidRDefault="00DE52CF" w:rsidP="00DE52CF">
            <w:pPr>
              <w:ind w:left="492" w:hanging="492"/>
              <w:jc w:val="right"/>
              <w:rPr>
                <w:rFonts w:ascii="Arial" w:hAnsi="Arial" w:cs="Arial"/>
                <w:b/>
                <w:sz w:val="17"/>
                <w:szCs w:val="17"/>
              </w:rPr>
            </w:pPr>
            <w:r w:rsidRPr="00BA272D">
              <w:rPr>
                <w:rFonts w:ascii="Arial" w:hAnsi="Arial" w:cs="Arial"/>
                <w:b/>
                <w:sz w:val="17"/>
                <w:szCs w:val="17"/>
              </w:rPr>
              <w:t xml:space="preserve"> 33,129,443,043 </w:t>
            </w:r>
          </w:p>
        </w:tc>
      </w:tr>
    </w:tbl>
    <w:p w:rsidR="00DE52CF" w:rsidRDefault="00DE52CF" w:rsidP="00F71E5C">
      <w:pPr>
        <w:spacing w:before="80" w:line="250" w:lineRule="exact"/>
        <w:ind w:left="709"/>
        <w:jc w:val="center"/>
        <w:rPr>
          <w:rFonts w:ascii="Arial" w:eastAsia="Calibri" w:hAnsi="Arial" w:cs="Arial"/>
          <w:b/>
          <w:spacing w:val="-1"/>
          <w:sz w:val="17"/>
          <w:szCs w:val="17"/>
        </w:rPr>
      </w:pPr>
      <w:r>
        <w:rPr>
          <w:rFonts w:ascii="Arial" w:eastAsia="Calibri" w:hAnsi="Arial" w:cs="Arial"/>
          <w:b/>
          <w:spacing w:val="-1"/>
          <w:sz w:val="17"/>
          <w:szCs w:val="17"/>
        </w:rPr>
        <w:t xml:space="preserve">                           </w:t>
      </w:r>
    </w:p>
    <w:p w:rsidR="00F71E5C" w:rsidRPr="00BA272D" w:rsidRDefault="00DE52CF" w:rsidP="00F71E5C">
      <w:pPr>
        <w:spacing w:before="80" w:line="250" w:lineRule="exact"/>
        <w:ind w:left="709"/>
        <w:jc w:val="center"/>
        <w:rPr>
          <w:rFonts w:ascii="Arial" w:eastAsia="Calibri" w:hAnsi="Arial" w:cs="Arial"/>
          <w:b/>
          <w:spacing w:val="-1"/>
          <w:sz w:val="17"/>
          <w:szCs w:val="17"/>
        </w:rPr>
      </w:pPr>
      <w:r w:rsidRPr="00BA272D">
        <w:rPr>
          <w:rFonts w:ascii="Arial" w:eastAsia="Calibri" w:hAnsi="Arial" w:cs="Arial"/>
          <w:b/>
          <w:spacing w:val="-1"/>
          <w:sz w:val="17"/>
          <w:szCs w:val="17"/>
        </w:rPr>
        <w:t xml:space="preserve"> </w:t>
      </w:r>
    </w:p>
    <w:p w:rsidR="00DE52CF" w:rsidRDefault="00DE52CF" w:rsidP="00CD33E9">
      <w:pPr>
        <w:spacing w:before="80" w:line="250" w:lineRule="exact"/>
        <w:ind w:left="708"/>
        <w:jc w:val="both"/>
        <w:rPr>
          <w:rFonts w:ascii="Arial" w:eastAsia="Calibri" w:hAnsi="Arial" w:cs="Arial"/>
          <w:spacing w:val="-1"/>
          <w:sz w:val="17"/>
          <w:szCs w:val="17"/>
        </w:rPr>
      </w:pPr>
    </w:p>
    <w:p w:rsidR="00DE52CF" w:rsidRDefault="00DE52CF" w:rsidP="00CD33E9">
      <w:pPr>
        <w:spacing w:before="80" w:line="250" w:lineRule="exact"/>
        <w:ind w:left="708"/>
        <w:jc w:val="both"/>
        <w:rPr>
          <w:rFonts w:ascii="Arial" w:eastAsia="Calibri" w:hAnsi="Arial" w:cs="Arial"/>
          <w:spacing w:val="-1"/>
          <w:sz w:val="17"/>
          <w:szCs w:val="17"/>
        </w:rPr>
      </w:pPr>
    </w:p>
    <w:p w:rsidR="00DE52CF" w:rsidRDefault="00DE52CF" w:rsidP="00CD33E9">
      <w:pPr>
        <w:spacing w:before="80" w:line="250" w:lineRule="exact"/>
        <w:ind w:left="708"/>
        <w:jc w:val="both"/>
        <w:rPr>
          <w:rFonts w:ascii="Arial" w:eastAsia="Calibri" w:hAnsi="Arial" w:cs="Arial"/>
          <w:spacing w:val="-1"/>
          <w:sz w:val="17"/>
          <w:szCs w:val="17"/>
        </w:rPr>
      </w:pPr>
    </w:p>
    <w:p w:rsidR="00DE52CF" w:rsidRDefault="00DE52CF" w:rsidP="00CD33E9">
      <w:pPr>
        <w:spacing w:before="80" w:line="250" w:lineRule="exact"/>
        <w:ind w:left="708"/>
        <w:jc w:val="both"/>
        <w:rPr>
          <w:rFonts w:ascii="Arial" w:eastAsia="Calibri" w:hAnsi="Arial" w:cs="Arial"/>
          <w:spacing w:val="-1"/>
          <w:sz w:val="17"/>
          <w:szCs w:val="17"/>
        </w:rPr>
      </w:pPr>
    </w:p>
    <w:p w:rsidR="00DE52CF" w:rsidRDefault="00DE52CF" w:rsidP="00CD33E9">
      <w:pPr>
        <w:spacing w:before="80" w:line="250" w:lineRule="exact"/>
        <w:ind w:left="708"/>
        <w:jc w:val="both"/>
        <w:rPr>
          <w:rFonts w:ascii="Arial" w:eastAsia="Calibri" w:hAnsi="Arial" w:cs="Arial"/>
          <w:spacing w:val="-1"/>
          <w:sz w:val="17"/>
          <w:szCs w:val="17"/>
        </w:rPr>
      </w:pPr>
    </w:p>
    <w:p w:rsidR="00F71E5C" w:rsidRPr="00BA272D" w:rsidRDefault="00F71E5C" w:rsidP="009C5FBD">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Las participacio</w:t>
      </w:r>
      <w:r w:rsidR="00C2358F" w:rsidRPr="00BA272D">
        <w:rPr>
          <w:rFonts w:ascii="Arial" w:eastAsia="Calibri" w:hAnsi="Arial" w:cs="Arial"/>
          <w:spacing w:val="-1"/>
          <w:sz w:val="17"/>
          <w:szCs w:val="17"/>
        </w:rPr>
        <w:t xml:space="preserve">nes reflejan </w:t>
      </w:r>
      <w:r w:rsidR="003E0C09" w:rsidRPr="00BA272D">
        <w:rPr>
          <w:rFonts w:ascii="Arial" w:eastAsia="Calibri" w:hAnsi="Arial" w:cs="Arial"/>
          <w:spacing w:val="-1"/>
          <w:sz w:val="17"/>
          <w:szCs w:val="17"/>
        </w:rPr>
        <w:t>un incremento del 6</w:t>
      </w:r>
      <w:r w:rsidRPr="00BA272D">
        <w:rPr>
          <w:rFonts w:ascii="Arial" w:eastAsia="Calibri" w:hAnsi="Arial" w:cs="Arial"/>
          <w:spacing w:val="-1"/>
          <w:sz w:val="17"/>
          <w:szCs w:val="17"/>
        </w:rPr>
        <w:t>%, derivado principalmente del Fondo General de Participaciones</w:t>
      </w:r>
      <w:r w:rsidR="003E0C09" w:rsidRPr="00BA272D">
        <w:rPr>
          <w:rFonts w:ascii="Arial" w:eastAsia="Calibri" w:hAnsi="Arial" w:cs="Arial"/>
          <w:spacing w:val="-1"/>
          <w:sz w:val="17"/>
          <w:szCs w:val="17"/>
        </w:rPr>
        <w:t xml:space="preserve"> y del Fondo de Estabilización de los Ingresos de las Entidades Federativas</w:t>
      </w:r>
      <w:r w:rsidRPr="00BA272D">
        <w:rPr>
          <w:rFonts w:ascii="Arial" w:eastAsia="Calibri" w:hAnsi="Arial" w:cs="Arial"/>
          <w:spacing w:val="-1"/>
          <w:sz w:val="17"/>
          <w:szCs w:val="17"/>
        </w:rPr>
        <w:t>.</w:t>
      </w:r>
    </w:p>
    <w:p w:rsidR="00F71E5C" w:rsidRPr="00BA272D" w:rsidRDefault="00F71E5C" w:rsidP="009C5FBD">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 cuenta de Aportaci</w:t>
      </w:r>
      <w:r w:rsidR="00EE2114" w:rsidRPr="00BA272D">
        <w:rPr>
          <w:rFonts w:ascii="Arial" w:eastAsia="Calibri" w:hAnsi="Arial" w:cs="Arial"/>
          <w:spacing w:val="-1"/>
          <w:sz w:val="17"/>
          <w:szCs w:val="17"/>
        </w:rPr>
        <w:t>on</w:t>
      </w:r>
      <w:r w:rsidR="00B04CBE" w:rsidRPr="00BA272D">
        <w:rPr>
          <w:rFonts w:ascii="Arial" w:eastAsia="Calibri" w:hAnsi="Arial" w:cs="Arial"/>
          <w:spacing w:val="-1"/>
          <w:sz w:val="17"/>
          <w:szCs w:val="17"/>
        </w:rPr>
        <w:t>es, presenta un incremento del 2</w:t>
      </w:r>
      <w:r w:rsidRPr="00BA272D">
        <w:rPr>
          <w:rFonts w:ascii="Arial" w:eastAsia="Calibri" w:hAnsi="Arial" w:cs="Arial"/>
          <w:spacing w:val="-1"/>
          <w:sz w:val="17"/>
          <w:szCs w:val="17"/>
        </w:rPr>
        <w:t>%</w:t>
      </w:r>
      <w:r w:rsidR="00EE2114" w:rsidRPr="00BA272D">
        <w:rPr>
          <w:rFonts w:ascii="Arial" w:eastAsia="Calibri" w:hAnsi="Arial" w:cs="Arial"/>
          <w:spacing w:val="-1"/>
          <w:sz w:val="17"/>
          <w:szCs w:val="17"/>
        </w:rPr>
        <w:t xml:space="preserve"> derivado principalmente de</w:t>
      </w:r>
      <w:r w:rsidR="00040B9A">
        <w:rPr>
          <w:rFonts w:ascii="Arial" w:eastAsia="Calibri" w:hAnsi="Arial" w:cs="Arial"/>
          <w:spacing w:val="-1"/>
          <w:sz w:val="17"/>
          <w:szCs w:val="17"/>
        </w:rPr>
        <w:t xml:space="preserve"> </w:t>
      </w:r>
      <w:r w:rsidR="00EE2114" w:rsidRPr="00BA272D">
        <w:rPr>
          <w:rFonts w:ascii="Arial" w:eastAsia="Calibri" w:hAnsi="Arial" w:cs="Arial"/>
          <w:spacing w:val="-1"/>
          <w:sz w:val="17"/>
          <w:szCs w:val="17"/>
        </w:rPr>
        <w:t>l</w:t>
      </w:r>
      <w:r w:rsidR="00040B9A">
        <w:rPr>
          <w:rFonts w:ascii="Arial" w:eastAsia="Calibri" w:hAnsi="Arial" w:cs="Arial"/>
          <w:spacing w:val="-1"/>
          <w:sz w:val="17"/>
          <w:szCs w:val="17"/>
        </w:rPr>
        <w:t xml:space="preserve">os recursos federales </w:t>
      </w:r>
      <w:r w:rsidR="00040B9A" w:rsidRPr="00040B9A">
        <w:rPr>
          <w:rFonts w:ascii="Arial" w:eastAsia="Calibri" w:hAnsi="Arial" w:cs="Arial"/>
          <w:spacing w:val="-1"/>
          <w:sz w:val="17"/>
          <w:szCs w:val="17"/>
        </w:rPr>
        <w:t>Fondo de Aportaciones para la Nómina Educativa y Gasto Operativo (FONE)</w:t>
      </w:r>
      <w:r w:rsidR="00B04CBE" w:rsidRPr="00BA272D">
        <w:rPr>
          <w:rFonts w:ascii="Arial" w:eastAsia="Calibri" w:hAnsi="Arial" w:cs="Arial"/>
          <w:spacing w:val="-1"/>
          <w:sz w:val="17"/>
          <w:szCs w:val="17"/>
        </w:rPr>
        <w:t xml:space="preserve"> y </w:t>
      </w:r>
      <w:r w:rsidR="00040B9A" w:rsidRPr="00040B9A">
        <w:rPr>
          <w:rFonts w:ascii="Arial" w:eastAsia="Calibri" w:hAnsi="Arial" w:cs="Arial"/>
          <w:spacing w:val="-1"/>
          <w:sz w:val="17"/>
          <w:szCs w:val="17"/>
        </w:rPr>
        <w:t>Fondo de Aportaciones para los Servicios de Salud (FASSA)</w:t>
      </w:r>
      <w:r w:rsidRPr="00BA272D">
        <w:rPr>
          <w:rFonts w:ascii="Arial" w:eastAsia="Calibri" w:hAnsi="Arial" w:cs="Arial"/>
          <w:spacing w:val="-1"/>
          <w:sz w:val="17"/>
          <w:szCs w:val="17"/>
        </w:rPr>
        <w:t>.</w:t>
      </w:r>
    </w:p>
    <w:p w:rsidR="00F71E5C" w:rsidRPr="00BA272D" w:rsidRDefault="00F71E5C" w:rsidP="009C5FBD">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Los Conven</w:t>
      </w:r>
      <w:r w:rsidR="00B04CBE" w:rsidRPr="00BA272D">
        <w:rPr>
          <w:rFonts w:ascii="Arial" w:eastAsia="Calibri" w:hAnsi="Arial" w:cs="Arial"/>
          <w:spacing w:val="-1"/>
          <w:sz w:val="17"/>
          <w:szCs w:val="17"/>
        </w:rPr>
        <w:t>i</w:t>
      </w:r>
      <w:r w:rsidR="003E0C09" w:rsidRPr="00BA272D">
        <w:rPr>
          <w:rFonts w:ascii="Arial" w:eastAsia="Calibri" w:hAnsi="Arial" w:cs="Arial"/>
          <w:spacing w:val="-1"/>
          <w:sz w:val="17"/>
          <w:szCs w:val="17"/>
        </w:rPr>
        <w:t>os reflejan un decremento del 7</w:t>
      </w:r>
      <w:r w:rsidRPr="00BA272D">
        <w:rPr>
          <w:rFonts w:ascii="Arial" w:eastAsia="Calibri" w:hAnsi="Arial" w:cs="Arial"/>
          <w:spacing w:val="-1"/>
          <w:sz w:val="17"/>
          <w:szCs w:val="17"/>
        </w:rPr>
        <w:t>% princip</w:t>
      </w:r>
      <w:r w:rsidR="00C2358F" w:rsidRPr="00BA272D">
        <w:rPr>
          <w:rFonts w:ascii="Arial" w:eastAsia="Calibri" w:hAnsi="Arial" w:cs="Arial"/>
          <w:spacing w:val="-1"/>
          <w:sz w:val="17"/>
          <w:szCs w:val="17"/>
        </w:rPr>
        <w:t xml:space="preserve">almente en Convenios del Ramo </w:t>
      </w:r>
      <w:r w:rsidR="003E0C09" w:rsidRPr="00BA272D">
        <w:rPr>
          <w:rFonts w:ascii="Arial" w:eastAsia="Calibri" w:hAnsi="Arial" w:cs="Arial"/>
          <w:spacing w:val="-1"/>
          <w:sz w:val="17"/>
          <w:szCs w:val="17"/>
        </w:rPr>
        <w:t>12</w:t>
      </w:r>
      <w:r w:rsidR="00CD33E9" w:rsidRPr="00BA272D">
        <w:rPr>
          <w:rFonts w:ascii="Arial" w:eastAsia="Calibri" w:hAnsi="Arial" w:cs="Arial"/>
          <w:spacing w:val="-1"/>
          <w:sz w:val="17"/>
          <w:szCs w:val="17"/>
        </w:rPr>
        <w:t xml:space="preserve"> Salud</w:t>
      </w:r>
      <w:r w:rsidR="003E0C09" w:rsidRPr="00BA272D">
        <w:rPr>
          <w:rFonts w:ascii="Arial" w:eastAsia="Calibri" w:hAnsi="Arial" w:cs="Arial"/>
          <w:spacing w:val="-1"/>
          <w:sz w:val="17"/>
          <w:szCs w:val="17"/>
        </w:rPr>
        <w:t xml:space="preserve">, </w:t>
      </w:r>
      <w:r w:rsidR="00CD33E9" w:rsidRPr="00BA272D">
        <w:rPr>
          <w:rFonts w:ascii="Arial" w:eastAsia="Calibri" w:hAnsi="Arial" w:cs="Arial"/>
          <w:spacing w:val="-1"/>
          <w:sz w:val="17"/>
          <w:szCs w:val="17"/>
        </w:rPr>
        <w:t>Ramo 3</w:t>
      </w:r>
      <w:r w:rsidR="00C2358F" w:rsidRPr="00BA272D">
        <w:rPr>
          <w:rFonts w:ascii="Arial" w:eastAsia="Calibri" w:hAnsi="Arial" w:cs="Arial"/>
          <w:spacing w:val="-1"/>
          <w:sz w:val="17"/>
          <w:szCs w:val="17"/>
        </w:rPr>
        <w:t>6</w:t>
      </w:r>
      <w:r w:rsidR="00CD33E9" w:rsidRPr="00BA272D">
        <w:rPr>
          <w:rFonts w:ascii="Arial" w:eastAsia="Calibri" w:hAnsi="Arial" w:cs="Arial"/>
          <w:spacing w:val="-1"/>
          <w:sz w:val="17"/>
          <w:szCs w:val="17"/>
        </w:rPr>
        <w:t xml:space="preserve"> Seguridad y Protección Ciudadana y Ramo 16</w:t>
      </w:r>
      <w:r w:rsidR="00CD33E9" w:rsidRPr="00BA272D">
        <w:rPr>
          <w:rFonts w:ascii="Arial" w:hAnsi="Arial" w:cs="Arial"/>
          <w:sz w:val="17"/>
          <w:szCs w:val="17"/>
        </w:rPr>
        <w:t xml:space="preserve"> </w:t>
      </w:r>
      <w:r w:rsidR="00CD33E9" w:rsidRPr="00BA272D">
        <w:rPr>
          <w:rFonts w:ascii="Arial" w:eastAsia="Calibri" w:hAnsi="Arial" w:cs="Arial"/>
          <w:spacing w:val="-1"/>
          <w:sz w:val="17"/>
          <w:szCs w:val="17"/>
        </w:rPr>
        <w:t>Medio Ambiente y Recursos Naturales.</w:t>
      </w:r>
    </w:p>
    <w:p w:rsidR="00CD33E9" w:rsidRDefault="00F71E5C" w:rsidP="009C5FBD">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lo que respecta a Incentivos Derivados de la Colaboración Fisc</w:t>
      </w:r>
      <w:r w:rsidR="00EE2114" w:rsidRPr="00BA272D">
        <w:rPr>
          <w:rFonts w:ascii="Arial" w:eastAsia="Calibri" w:hAnsi="Arial" w:cs="Arial"/>
          <w:spacing w:val="-1"/>
          <w:sz w:val="17"/>
          <w:szCs w:val="17"/>
        </w:rPr>
        <w:t>al, presenta un decremen</w:t>
      </w:r>
      <w:r w:rsidR="00CD33E9" w:rsidRPr="00BA272D">
        <w:rPr>
          <w:rFonts w:ascii="Arial" w:eastAsia="Calibri" w:hAnsi="Arial" w:cs="Arial"/>
          <w:spacing w:val="-1"/>
          <w:sz w:val="17"/>
          <w:szCs w:val="17"/>
        </w:rPr>
        <w:t>to del 5</w:t>
      </w:r>
      <w:r w:rsidRPr="00BA272D">
        <w:rPr>
          <w:rFonts w:ascii="Arial" w:eastAsia="Calibri" w:hAnsi="Arial" w:cs="Arial"/>
          <w:spacing w:val="-1"/>
          <w:sz w:val="17"/>
          <w:szCs w:val="17"/>
        </w:rPr>
        <w:t>% derivado principalmente de IVA Fiscalización Autoliquidado.</w:t>
      </w:r>
      <w:r w:rsidR="00CD33E9" w:rsidRPr="00BA272D">
        <w:rPr>
          <w:rFonts w:ascii="Arial" w:eastAsia="Calibri" w:hAnsi="Arial" w:cs="Arial"/>
          <w:spacing w:val="-1"/>
          <w:sz w:val="17"/>
          <w:szCs w:val="17"/>
        </w:rPr>
        <w:t xml:space="preserve"> </w:t>
      </w:r>
    </w:p>
    <w:p w:rsidR="00FD2A16" w:rsidRDefault="00FD2A16" w:rsidP="009C5FBD">
      <w:pPr>
        <w:spacing w:before="80" w:line="250" w:lineRule="exact"/>
        <w:ind w:left="851"/>
        <w:jc w:val="both"/>
        <w:rPr>
          <w:rFonts w:ascii="Arial" w:eastAsia="Calibri" w:hAnsi="Arial" w:cs="Arial"/>
          <w:spacing w:val="-1"/>
          <w:sz w:val="17"/>
          <w:szCs w:val="17"/>
        </w:rPr>
      </w:pPr>
    </w:p>
    <w:p w:rsidR="001F6631" w:rsidRDefault="001F6631" w:rsidP="009C5FBD">
      <w:pPr>
        <w:spacing w:before="80" w:line="250" w:lineRule="exact"/>
        <w:ind w:left="851"/>
        <w:jc w:val="both"/>
        <w:rPr>
          <w:rFonts w:ascii="Arial" w:eastAsia="Calibri" w:hAnsi="Arial" w:cs="Arial"/>
          <w:spacing w:val="-1"/>
          <w:sz w:val="17"/>
          <w:szCs w:val="17"/>
        </w:rPr>
      </w:pPr>
    </w:p>
    <w:p w:rsidR="001F6631" w:rsidRDefault="001F6631" w:rsidP="009C5FBD">
      <w:pPr>
        <w:spacing w:before="80" w:line="250" w:lineRule="exact"/>
        <w:ind w:left="851"/>
        <w:jc w:val="both"/>
        <w:rPr>
          <w:rFonts w:ascii="Arial" w:eastAsia="Calibri" w:hAnsi="Arial" w:cs="Arial"/>
          <w:spacing w:val="-1"/>
          <w:sz w:val="17"/>
          <w:szCs w:val="17"/>
        </w:rPr>
      </w:pPr>
    </w:p>
    <w:p w:rsidR="001F6631" w:rsidRDefault="001F6631" w:rsidP="009C5FBD">
      <w:pPr>
        <w:spacing w:before="80" w:line="250" w:lineRule="exact"/>
        <w:ind w:left="851"/>
        <w:jc w:val="both"/>
        <w:rPr>
          <w:rFonts w:ascii="Arial" w:eastAsia="Calibri" w:hAnsi="Arial" w:cs="Arial"/>
          <w:spacing w:val="-1"/>
          <w:sz w:val="17"/>
          <w:szCs w:val="17"/>
        </w:rPr>
      </w:pPr>
    </w:p>
    <w:p w:rsidR="001F6631" w:rsidRDefault="001F6631" w:rsidP="009C5FBD">
      <w:pPr>
        <w:spacing w:before="80" w:line="250" w:lineRule="exact"/>
        <w:ind w:left="851"/>
        <w:jc w:val="both"/>
        <w:rPr>
          <w:rFonts w:ascii="Arial" w:eastAsia="Calibri" w:hAnsi="Arial" w:cs="Arial"/>
          <w:spacing w:val="-1"/>
          <w:sz w:val="17"/>
          <w:szCs w:val="17"/>
        </w:rPr>
      </w:pPr>
    </w:p>
    <w:p w:rsidR="001F6631" w:rsidRDefault="001F6631" w:rsidP="009C5FBD">
      <w:pPr>
        <w:spacing w:before="80" w:line="250" w:lineRule="exact"/>
        <w:ind w:left="851"/>
        <w:jc w:val="both"/>
        <w:rPr>
          <w:rFonts w:ascii="Arial" w:eastAsia="Calibri" w:hAnsi="Arial" w:cs="Arial"/>
          <w:spacing w:val="-1"/>
          <w:sz w:val="17"/>
          <w:szCs w:val="17"/>
        </w:rPr>
      </w:pPr>
    </w:p>
    <w:p w:rsidR="001F6631" w:rsidRDefault="001F6631" w:rsidP="009C5FBD">
      <w:pPr>
        <w:spacing w:before="80" w:line="250" w:lineRule="exact"/>
        <w:ind w:left="851"/>
        <w:jc w:val="both"/>
        <w:rPr>
          <w:rFonts w:ascii="Arial" w:eastAsia="Calibri" w:hAnsi="Arial" w:cs="Arial"/>
          <w:spacing w:val="-1"/>
          <w:sz w:val="17"/>
          <w:szCs w:val="17"/>
        </w:rPr>
      </w:pPr>
    </w:p>
    <w:p w:rsidR="001F6631" w:rsidRPr="00BA272D" w:rsidRDefault="001F6631" w:rsidP="001F6631">
      <w:pPr>
        <w:spacing w:before="80" w:line="250" w:lineRule="exact"/>
        <w:jc w:val="both"/>
        <w:rPr>
          <w:rFonts w:ascii="Arial" w:eastAsia="Calibri" w:hAnsi="Arial" w:cs="Arial"/>
          <w:spacing w:val="-1"/>
          <w:sz w:val="17"/>
          <w:szCs w:val="17"/>
        </w:rPr>
      </w:pPr>
    </w:p>
    <w:p w:rsidR="00F71E5C" w:rsidRPr="00BA272D" w:rsidRDefault="00F71E5C" w:rsidP="009C5FBD">
      <w:pPr>
        <w:pStyle w:val="Prrafodelista"/>
        <w:numPr>
          <w:ilvl w:val="0"/>
          <w:numId w:val="12"/>
        </w:numPr>
        <w:spacing w:before="80" w:line="25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Otros Ingresos y Beneficios</w:t>
      </w:r>
    </w:p>
    <w:p w:rsidR="00CD33E9" w:rsidRPr="00BA272D" w:rsidRDefault="00CD33E9" w:rsidP="00FD2A16">
      <w:pPr>
        <w:pStyle w:val="Prrafodelista"/>
        <w:spacing w:before="80" w:line="250" w:lineRule="exact"/>
        <w:ind w:left="851"/>
        <w:jc w:val="both"/>
        <w:rPr>
          <w:rFonts w:ascii="Arial" w:eastAsia="Calibri" w:hAnsi="Arial" w:cs="Arial"/>
          <w:b/>
          <w:spacing w:val="-1"/>
          <w:sz w:val="17"/>
          <w:szCs w:val="17"/>
        </w:rPr>
      </w:pPr>
    </w:p>
    <w:p w:rsidR="00C70D05" w:rsidRPr="001F6631" w:rsidRDefault="00F71E5C" w:rsidP="001F6631">
      <w:pPr>
        <w:pStyle w:val="Prrafodelista"/>
        <w:autoSpaceDE w:val="0"/>
        <w:autoSpaceDN w:val="0"/>
        <w:adjustRightInd w:val="0"/>
        <w:spacing w:before="80" w:after="12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De los rubros de Ingresos Financieros, Incremento por Variación de Inventarios, Disminución del Exceso de Estimaciones por Pérdida o Deterioro u Obsolescencia, Disminución del Exceso de Provisiones, y de Otros Ingresos y Beneficios Varios, se informan los montos totales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001F6631">
        <w:rPr>
          <w:rFonts w:ascii="Arial" w:eastAsia="Calibri" w:hAnsi="Arial" w:cs="Arial"/>
          <w:spacing w:val="-1"/>
          <w:sz w:val="17"/>
          <w:szCs w:val="17"/>
        </w:rPr>
        <w:t>:</w:t>
      </w:r>
    </w:p>
    <w:p w:rsidR="00F71E5C" w:rsidRDefault="00F71E5C" w:rsidP="00F71E5C">
      <w:pPr>
        <w:spacing w:before="80" w:line="250" w:lineRule="exact"/>
        <w:ind w:left="709"/>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pPr w:leftFromText="141" w:rightFromText="141" w:vertAnchor="text" w:horzAnchor="page" w:tblpX="4244" w:tblpY="116"/>
        <w:tblW w:w="6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0"/>
        <w:gridCol w:w="1220"/>
        <w:gridCol w:w="1240"/>
      </w:tblGrid>
      <w:tr w:rsidR="001F6631" w:rsidRPr="004828ED" w:rsidTr="00FD1672">
        <w:trPr>
          <w:trHeight w:val="300"/>
        </w:trPr>
        <w:tc>
          <w:tcPr>
            <w:tcW w:w="3880" w:type="dxa"/>
            <w:shd w:val="clear" w:color="auto" w:fill="BFBFBF" w:themeFill="background1" w:themeFillShade="BF"/>
            <w:vAlign w:val="center"/>
            <w:hideMark/>
          </w:tcPr>
          <w:p w:rsidR="001F6631" w:rsidRPr="004828ED" w:rsidRDefault="001F6631" w:rsidP="001F6631">
            <w:pPr>
              <w:jc w:val="center"/>
              <w:rPr>
                <w:rFonts w:ascii="Arial" w:hAnsi="Arial" w:cs="Arial"/>
                <w:b/>
                <w:bCs/>
                <w:color w:val="000000"/>
                <w:sz w:val="17"/>
                <w:szCs w:val="17"/>
              </w:rPr>
            </w:pPr>
            <w:r w:rsidRPr="004828ED">
              <w:rPr>
                <w:rFonts w:ascii="Arial" w:hAnsi="Arial" w:cs="Arial"/>
                <w:b/>
                <w:bCs/>
                <w:color w:val="000000"/>
                <w:sz w:val="17"/>
                <w:szCs w:val="17"/>
              </w:rPr>
              <w:t>Cuenta de ingresos:</w:t>
            </w:r>
          </w:p>
        </w:tc>
        <w:tc>
          <w:tcPr>
            <w:tcW w:w="1220" w:type="dxa"/>
            <w:shd w:val="clear" w:color="auto" w:fill="BFBFBF" w:themeFill="background1" w:themeFillShade="BF"/>
            <w:vAlign w:val="center"/>
            <w:hideMark/>
          </w:tcPr>
          <w:p w:rsidR="001F6631" w:rsidRPr="004828ED" w:rsidRDefault="001F6631" w:rsidP="001F6631">
            <w:pPr>
              <w:jc w:val="center"/>
              <w:rPr>
                <w:rFonts w:ascii="Arial" w:hAnsi="Arial" w:cs="Arial"/>
                <w:b/>
                <w:bCs/>
                <w:color w:val="000000"/>
                <w:sz w:val="17"/>
                <w:szCs w:val="17"/>
              </w:rPr>
            </w:pPr>
            <w:r w:rsidRPr="004828ED">
              <w:rPr>
                <w:rFonts w:ascii="Arial" w:hAnsi="Arial" w:cs="Arial"/>
                <w:b/>
                <w:bCs/>
                <w:color w:val="000000"/>
                <w:sz w:val="17"/>
                <w:szCs w:val="17"/>
              </w:rPr>
              <w:t>2021</w:t>
            </w:r>
          </w:p>
        </w:tc>
        <w:tc>
          <w:tcPr>
            <w:tcW w:w="1240" w:type="dxa"/>
            <w:shd w:val="clear" w:color="auto" w:fill="BFBFBF" w:themeFill="background1" w:themeFillShade="BF"/>
            <w:vAlign w:val="center"/>
            <w:hideMark/>
          </w:tcPr>
          <w:p w:rsidR="001F6631" w:rsidRPr="004828ED" w:rsidRDefault="001F6631" w:rsidP="001F6631">
            <w:pPr>
              <w:jc w:val="center"/>
              <w:rPr>
                <w:rFonts w:ascii="Arial" w:hAnsi="Arial" w:cs="Arial"/>
                <w:b/>
                <w:bCs/>
                <w:color w:val="000000"/>
                <w:sz w:val="17"/>
                <w:szCs w:val="17"/>
              </w:rPr>
            </w:pPr>
            <w:r w:rsidRPr="004828ED">
              <w:rPr>
                <w:rFonts w:ascii="Arial" w:hAnsi="Arial" w:cs="Arial"/>
                <w:b/>
                <w:bCs/>
                <w:color w:val="000000"/>
                <w:sz w:val="17"/>
                <w:szCs w:val="17"/>
              </w:rPr>
              <w:t>2020</w:t>
            </w:r>
          </w:p>
        </w:tc>
      </w:tr>
      <w:tr w:rsidR="001F6631" w:rsidRPr="004828ED" w:rsidTr="001F6631">
        <w:trPr>
          <w:trHeight w:val="300"/>
        </w:trPr>
        <w:tc>
          <w:tcPr>
            <w:tcW w:w="3880" w:type="dxa"/>
            <w:shd w:val="clear" w:color="auto" w:fill="auto"/>
            <w:vAlign w:val="center"/>
            <w:hideMark/>
          </w:tcPr>
          <w:p w:rsidR="001F6631" w:rsidRPr="004828ED" w:rsidRDefault="001F6631" w:rsidP="001F6631">
            <w:pPr>
              <w:rPr>
                <w:rFonts w:ascii="Arial" w:hAnsi="Arial" w:cs="Arial"/>
                <w:color w:val="000000"/>
                <w:sz w:val="17"/>
                <w:szCs w:val="17"/>
              </w:rPr>
            </w:pPr>
            <w:r w:rsidRPr="004828ED">
              <w:rPr>
                <w:rFonts w:ascii="Arial" w:hAnsi="Arial" w:cs="Arial"/>
                <w:color w:val="000000"/>
                <w:sz w:val="17"/>
                <w:szCs w:val="17"/>
              </w:rPr>
              <w:t>Utilidades por Participación Patrimonial</w:t>
            </w:r>
          </w:p>
        </w:tc>
        <w:tc>
          <w:tcPr>
            <w:tcW w:w="1220" w:type="dxa"/>
            <w:shd w:val="clear" w:color="auto" w:fill="auto"/>
            <w:vAlign w:val="center"/>
            <w:hideMark/>
          </w:tcPr>
          <w:p w:rsidR="001F6631" w:rsidRPr="004828ED" w:rsidRDefault="001F6631" w:rsidP="001F6631">
            <w:pPr>
              <w:jc w:val="right"/>
              <w:rPr>
                <w:rFonts w:ascii="Arial" w:hAnsi="Arial" w:cs="Arial"/>
                <w:color w:val="000000"/>
                <w:sz w:val="17"/>
                <w:szCs w:val="17"/>
              </w:rPr>
            </w:pPr>
            <w:r w:rsidRPr="004828ED">
              <w:rPr>
                <w:rFonts w:ascii="Arial" w:hAnsi="Arial" w:cs="Arial"/>
                <w:color w:val="000000"/>
                <w:sz w:val="17"/>
                <w:szCs w:val="17"/>
              </w:rPr>
              <w:t>683,681,584</w:t>
            </w:r>
          </w:p>
        </w:tc>
        <w:tc>
          <w:tcPr>
            <w:tcW w:w="1240" w:type="dxa"/>
            <w:shd w:val="clear" w:color="auto" w:fill="auto"/>
            <w:vAlign w:val="center"/>
            <w:hideMark/>
          </w:tcPr>
          <w:p w:rsidR="001F6631" w:rsidRPr="004828ED" w:rsidRDefault="001F6631" w:rsidP="001F6631">
            <w:pPr>
              <w:jc w:val="right"/>
              <w:rPr>
                <w:rFonts w:ascii="Arial" w:hAnsi="Arial" w:cs="Arial"/>
                <w:color w:val="000000"/>
                <w:sz w:val="17"/>
                <w:szCs w:val="17"/>
              </w:rPr>
            </w:pPr>
            <w:r w:rsidRPr="004828ED">
              <w:rPr>
                <w:rFonts w:ascii="Arial" w:hAnsi="Arial" w:cs="Arial"/>
                <w:color w:val="000000"/>
                <w:sz w:val="17"/>
                <w:szCs w:val="17"/>
              </w:rPr>
              <w:t>1,644,094,087</w:t>
            </w:r>
          </w:p>
        </w:tc>
      </w:tr>
      <w:tr w:rsidR="001F6631" w:rsidRPr="004828ED" w:rsidTr="001F6631">
        <w:trPr>
          <w:trHeight w:val="300"/>
        </w:trPr>
        <w:tc>
          <w:tcPr>
            <w:tcW w:w="3880" w:type="dxa"/>
            <w:shd w:val="clear" w:color="auto" w:fill="auto"/>
            <w:vAlign w:val="center"/>
            <w:hideMark/>
          </w:tcPr>
          <w:p w:rsidR="001F6631" w:rsidRPr="004828ED" w:rsidRDefault="001F6631" w:rsidP="001F6631">
            <w:pPr>
              <w:rPr>
                <w:rFonts w:ascii="Arial" w:hAnsi="Arial" w:cs="Arial"/>
                <w:color w:val="000000"/>
                <w:sz w:val="17"/>
                <w:szCs w:val="17"/>
              </w:rPr>
            </w:pPr>
            <w:r w:rsidRPr="004828ED">
              <w:rPr>
                <w:rFonts w:ascii="Arial" w:hAnsi="Arial" w:cs="Arial"/>
                <w:color w:val="000000"/>
                <w:sz w:val="17"/>
                <w:szCs w:val="17"/>
              </w:rPr>
              <w:t>Otros Ingresos y Beneficios Varios</w:t>
            </w:r>
          </w:p>
        </w:tc>
        <w:tc>
          <w:tcPr>
            <w:tcW w:w="1220" w:type="dxa"/>
            <w:shd w:val="clear" w:color="auto" w:fill="auto"/>
            <w:vAlign w:val="center"/>
            <w:hideMark/>
          </w:tcPr>
          <w:p w:rsidR="001F6631" w:rsidRPr="004828ED" w:rsidRDefault="001F6631" w:rsidP="001F6631">
            <w:pPr>
              <w:jc w:val="right"/>
              <w:rPr>
                <w:rFonts w:ascii="Arial" w:hAnsi="Arial" w:cs="Arial"/>
                <w:color w:val="000000"/>
                <w:sz w:val="17"/>
                <w:szCs w:val="17"/>
              </w:rPr>
            </w:pPr>
            <w:r w:rsidRPr="004828ED">
              <w:rPr>
                <w:rFonts w:ascii="Arial" w:hAnsi="Arial" w:cs="Arial"/>
                <w:color w:val="000000"/>
                <w:sz w:val="17"/>
                <w:szCs w:val="17"/>
              </w:rPr>
              <w:t>40,553,290</w:t>
            </w:r>
          </w:p>
        </w:tc>
        <w:tc>
          <w:tcPr>
            <w:tcW w:w="1240" w:type="dxa"/>
            <w:shd w:val="clear" w:color="auto" w:fill="auto"/>
            <w:vAlign w:val="center"/>
            <w:hideMark/>
          </w:tcPr>
          <w:p w:rsidR="001F6631" w:rsidRPr="004828ED" w:rsidRDefault="001F6631" w:rsidP="001F6631">
            <w:pPr>
              <w:jc w:val="right"/>
              <w:rPr>
                <w:rFonts w:ascii="Arial" w:hAnsi="Arial" w:cs="Arial"/>
                <w:color w:val="000000"/>
                <w:sz w:val="17"/>
                <w:szCs w:val="17"/>
              </w:rPr>
            </w:pPr>
            <w:r w:rsidRPr="004828ED">
              <w:rPr>
                <w:rFonts w:ascii="Arial" w:hAnsi="Arial" w:cs="Arial"/>
                <w:color w:val="000000"/>
                <w:sz w:val="17"/>
                <w:szCs w:val="17"/>
              </w:rPr>
              <w:t>36,213,683</w:t>
            </w:r>
          </w:p>
        </w:tc>
      </w:tr>
      <w:tr w:rsidR="001F6631" w:rsidRPr="004828ED" w:rsidTr="00FD1672">
        <w:trPr>
          <w:trHeight w:val="300"/>
        </w:trPr>
        <w:tc>
          <w:tcPr>
            <w:tcW w:w="3880" w:type="dxa"/>
            <w:shd w:val="clear" w:color="auto" w:fill="BFBFBF" w:themeFill="background1" w:themeFillShade="BF"/>
            <w:vAlign w:val="center"/>
            <w:hideMark/>
          </w:tcPr>
          <w:p w:rsidR="001F6631" w:rsidRPr="004828ED" w:rsidRDefault="001F6631" w:rsidP="001F6631">
            <w:pPr>
              <w:jc w:val="center"/>
              <w:rPr>
                <w:rFonts w:ascii="Arial" w:hAnsi="Arial" w:cs="Arial"/>
                <w:b/>
                <w:bCs/>
                <w:color w:val="000000"/>
                <w:sz w:val="17"/>
                <w:szCs w:val="17"/>
              </w:rPr>
            </w:pPr>
            <w:r w:rsidRPr="004828ED">
              <w:rPr>
                <w:rFonts w:ascii="Arial" w:hAnsi="Arial" w:cs="Arial"/>
                <w:b/>
                <w:bCs/>
                <w:color w:val="000000"/>
                <w:sz w:val="17"/>
                <w:szCs w:val="17"/>
              </w:rPr>
              <w:t xml:space="preserve">Total </w:t>
            </w:r>
          </w:p>
        </w:tc>
        <w:tc>
          <w:tcPr>
            <w:tcW w:w="1220" w:type="dxa"/>
            <w:shd w:val="clear" w:color="auto" w:fill="BFBFBF" w:themeFill="background1" w:themeFillShade="BF"/>
            <w:vAlign w:val="center"/>
            <w:hideMark/>
          </w:tcPr>
          <w:p w:rsidR="001F6631" w:rsidRPr="004828ED" w:rsidRDefault="001F6631" w:rsidP="001F6631">
            <w:pPr>
              <w:jc w:val="right"/>
              <w:rPr>
                <w:rFonts w:ascii="Arial" w:hAnsi="Arial" w:cs="Arial"/>
                <w:b/>
                <w:bCs/>
                <w:color w:val="000000"/>
                <w:sz w:val="17"/>
                <w:szCs w:val="17"/>
              </w:rPr>
            </w:pPr>
            <w:r w:rsidRPr="004828ED">
              <w:rPr>
                <w:rFonts w:ascii="Arial" w:hAnsi="Arial" w:cs="Arial"/>
                <w:b/>
                <w:bCs/>
                <w:color w:val="000000"/>
                <w:sz w:val="17"/>
                <w:szCs w:val="17"/>
              </w:rPr>
              <w:t>724,234,874</w:t>
            </w:r>
          </w:p>
        </w:tc>
        <w:tc>
          <w:tcPr>
            <w:tcW w:w="1240" w:type="dxa"/>
            <w:shd w:val="clear" w:color="auto" w:fill="BFBFBF" w:themeFill="background1" w:themeFillShade="BF"/>
            <w:noWrap/>
            <w:vAlign w:val="center"/>
            <w:hideMark/>
          </w:tcPr>
          <w:p w:rsidR="001F6631" w:rsidRPr="004828ED" w:rsidRDefault="001F6631" w:rsidP="001F6631">
            <w:pPr>
              <w:jc w:val="right"/>
              <w:rPr>
                <w:rFonts w:ascii="Arial" w:hAnsi="Arial" w:cs="Arial"/>
                <w:b/>
                <w:bCs/>
                <w:color w:val="000000"/>
                <w:sz w:val="17"/>
                <w:szCs w:val="17"/>
              </w:rPr>
            </w:pPr>
            <w:r w:rsidRPr="004828ED">
              <w:rPr>
                <w:rFonts w:ascii="Arial" w:hAnsi="Arial" w:cs="Arial"/>
                <w:b/>
                <w:bCs/>
                <w:color w:val="000000"/>
                <w:sz w:val="17"/>
                <w:szCs w:val="17"/>
              </w:rPr>
              <w:t>1,680,307,770</w:t>
            </w:r>
          </w:p>
        </w:tc>
      </w:tr>
    </w:tbl>
    <w:p w:rsidR="004343CB" w:rsidRDefault="004828ED" w:rsidP="001F6631">
      <w:pPr>
        <w:tabs>
          <w:tab w:val="center" w:pos="6237"/>
        </w:tabs>
        <w:spacing w:line="250" w:lineRule="exact"/>
        <w:rPr>
          <w:rFonts w:ascii="Calibri" w:eastAsia="Calibri" w:hAnsi="Calibri"/>
          <w:sz w:val="20"/>
          <w:szCs w:val="20"/>
        </w:rPr>
      </w:pPr>
      <w:r>
        <w:rPr>
          <w:rFonts w:eastAsia="Calibri"/>
        </w:rPr>
        <w:fldChar w:fldCharType="begin"/>
      </w:r>
      <w:r>
        <w:rPr>
          <w:rFonts w:eastAsia="Calibri"/>
        </w:rPr>
        <w:instrText xml:space="preserve"> LINK </w:instrText>
      </w:r>
      <w:r w:rsidR="004343CB">
        <w:rPr>
          <w:rFonts w:eastAsia="Calibri"/>
        </w:rPr>
        <w:instrText xml:space="preserve">Excel.Sheet.12 "C:\\Users\\aoviedot\\Desktop\\Dirección Contabilidad 2021 - 2028\\Estados Financieros\\2021\\Diciembre\\BALANZA DEFINITIVA DICIEMBRE DE 2021.xlsx" Hoja1!F6C4:F9C6 </w:instrText>
      </w:r>
      <w:r>
        <w:rPr>
          <w:rFonts w:eastAsia="Calibri"/>
        </w:rPr>
        <w:instrText xml:space="preserve">\a \f 4 \h  \* MERGEFORMAT </w:instrText>
      </w:r>
      <w:r>
        <w:rPr>
          <w:rFonts w:eastAsia="Calibri"/>
        </w:rPr>
        <w:fldChar w:fldCharType="separate"/>
      </w:r>
      <w:r w:rsidR="001F6631">
        <w:rPr>
          <w:rFonts w:eastAsia="Calibri"/>
        </w:rPr>
        <w:tab/>
      </w:r>
    </w:p>
    <w:p w:rsidR="004828ED" w:rsidRDefault="004828ED" w:rsidP="00F71E5C">
      <w:pPr>
        <w:spacing w:before="80" w:line="250" w:lineRule="exact"/>
        <w:ind w:left="709"/>
        <w:jc w:val="center"/>
        <w:rPr>
          <w:rFonts w:ascii="Arial" w:eastAsia="Calibri" w:hAnsi="Arial" w:cs="Arial"/>
          <w:b/>
          <w:spacing w:val="-1"/>
          <w:sz w:val="17"/>
          <w:szCs w:val="17"/>
        </w:rPr>
      </w:pPr>
      <w:r>
        <w:rPr>
          <w:rFonts w:ascii="Arial" w:eastAsia="Calibri" w:hAnsi="Arial" w:cs="Arial"/>
          <w:b/>
          <w:spacing w:val="-1"/>
          <w:sz w:val="17"/>
          <w:szCs w:val="17"/>
        </w:rPr>
        <w:fldChar w:fldCharType="end"/>
      </w:r>
    </w:p>
    <w:p w:rsidR="004828ED" w:rsidRDefault="004828ED" w:rsidP="00F71E5C">
      <w:pPr>
        <w:spacing w:before="80" w:line="250" w:lineRule="exact"/>
        <w:ind w:left="709"/>
        <w:jc w:val="center"/>
        <w:rPr>
          <w:rFonts w:ascii="Arial" w:eastAsia="Calibri" w:hAnsi="Arial" w:cs="Arial"/>
          <w:b/>
          <w:spacing w:val="-1"/>
          <w:sz w:val="17"/>
          <w:szCs w:val="17"/>
        </w:rPr>
      </w:pPr>
    </w:p>
    <w:p w:rsidR="004343CB" w:rsidRDefault="004828ED" w:rsidP="00F71E5C">
      <w:pPr>
        <w:spacing w:before="80" w:line="250" w:lineRule="exact"/>
        <w:ind w:left="709"/>
        <w:jc w:val="center"/>
        <w:rPr>
          <w:rFonts w:ascii="Calibri" w:eastAsia="Calibri" w:hAnsi="Calibri"/>
          <w:sz w:val="20"/>
          <w:szCs w:val="20"/>
        </w:rPr>
      </w:pPr>
      <w:r>
        <w:rPr>
          <w:rFonts w:eastAsia="Calibri"/>
        </w:rPr>
        <w:fldChar w:fldCharType="begin"/>
      </w:r>
      <w:r>
        <w:rPr>
          <w:rFonts w:eastAsia="Calibri"/>
        </w:rPr>
        <w:instrText xml:space="preserve"> LINK </w:instrText>
      </w:r>
      <w:r w:rsidR="004343CB">
        <w:rPr>
          <w:rFonts w:eastAsia="Calibri"/>
        </w:rPr>
        <w:instrText xml:space="preserve">Excel.Sheet.12 "C:\\Users\\aoviedot\\Desktop\\Dirección Contabilidad 2021 - 2028\\Estados Financieros\\2021\\Diciembre\\BALANZA DEFINITIVA DICIEMBRE DE 2021.xlsx" Hoja1!F6C4:F9C6 </w:instrText>
      </w:r>
      <w:r>
        <w:rPr>
          <w:rFonts w:eastAsia="Calibri"/>
        </w:rPr>
        <w:instrText xml:space="preserve">\a \f 4 \h </w:instrText>
      </w:r>
      <w:r>
        <w:rPr>
          <w:rFonts w:eastAsia="Calibri"/>
        </w:rPr>
        <w:fldChar w:fldCharType="separate"/>
      </w:r>
    </w:p>
    <w:p w:rsidR="004828ED" w:rsidRPr="00BA272D" w:rsidRDefault="004828ED" w:rsidP="001F6631">
      <w:pPr>
        <w:spacing w:before="80" w:line="250" w:lineRule="exact"/>
        <w:ind w:left="709"/>
        <w:jc w:val="center"/>
        <w:rPr>
          <w:rFonts w:ascii="Arial" w:eastAsia="Calibri" w:hAnsi="Arial" w:cs="Arial"/>
          <w:b/>
          <w:spacing w:val="-1"/>
          <w:sz w:val="17"/>
          <w:szCs w:val="17"/>
        </w:rPr>
      </w:pPr>
      <w:r>
        <w:rPr>
          <w:rFonts w:ascii="Arial" w:eastAsia="Calibri" w:hAnsi="Arial" w:cs="Arial"/>
          <w:b/>
          <w:spacing w:val="-1"/>
          <w:sz w:val="17"/>
          <w:szCs w:val="17"/>
        </w:rPr>
        <w:fldChar w:fldCharType="end"/>
      </w:r>
    </w:p>
    <w:p w:rsidR="00F71E5C" w:rsidRPr="00BA272D" w:rsidRDefault="00F71E5C" w:rsidP="002F2175">
      <w:pPr>
        <w:pStyle w:val="Prrafodelista"/>
        <w:numPr>
          <w:ilvl w:val="0"/>
          <w:numId w:val="12"/>
        </w:numPr>
        <w:spacing w:before="80" w:line="250" w:lineRule="exact"/>
        <w:ind w:left="851" w:right="-1559" w:firstLine="0"/>
        <w:jc w:val="both"/>
        <w:rPr>
          <w:rFonts w:ascii="Arial" w:eastAsia="Calibri" w:hAnsi="Arial" w:cs="Arial"/>
          <w:b/>
          <w:spacing w:val="-1"/>
          <w:sz w:val="17"/>
          <w:szCs w:val="17"/>
        </w:rPr>
      </w:pPr>
      <w:r w:rsidRPr="00BA272D">
        <w:rPr>
          <w:rFonts w:ascii="Arial" w:eastAsia="Calibri" w:hAnsi="Arial" w:cs="Arial"/>
          <w:b/>
          <w:spacing w:val="-1"/>
          <w:sz w:val="17"/>
          <w:szCs w:val="17"/>
        </w:rPr>
        <w:t>Gastos y otras pérdidas</w:t>
      </w:r>
    </w:p>
    <w:p w:rsidR="00F71E5C" w:rsidRPr="00BA272D" w:rsidRDefault="00F71E5C" w:rsidP="002F2175">
      <w:pPr>
        <w:ind w:left="851" w:right="-1559"/>
        <w:rPr>
          <w:rFonts w:ascii="Arial" w:hAnsi="Arial" w:cs="Arial"/>
          <w:b/>
          <w:sz w:val="17"/>
          <w:szCs w:val="17"/>
        </w:rPr>
      </w:pPr>
    </w:p>
    <w:p w:rsidR="00F71E5C" w:rsidRPr="00BA272D" w:rsidRDefault="00F71E5C" w:rsidP="000C5793">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Del género de Gastos y otras pérdidas se informan los grupos de Gastos de Funcionamiento; Transferencias, Asignaciones, Subsidios y Otras Ayudas; Participaciones y Aportaciones; Intereses, Comisiones y Otros Gastos de la Deuda Pública; Otros Gastos y Pérdidas Extraordinarias; e Inversión Pública, los montos totales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r w:rsidRPr="00BA272D">
        <w:rPr>
          <w:rFonts w:ascii="Arial" w:eastAsia="Calibri" w:hAnsi="Arial" w:cs="Arial"/>
          <w:spacing w:val="-1"/>
          <w:sz w:val="17"/>
          <w:szCs w:val="17"/>
        </w:rPr>
        <w:tab/>
      </w:r>
      <w:r w:rsidRPr="00BA272D">
        <w:rPr>
          <w:rFonts w:ascii="Arial" w:eastAsia="Calibri" w:hAnsi="Arial" w:cs="Arial"/>
          <w:spacing w:val="-1"/>
          <w:sz w:val="17"/>
          <w:szCs w:val="17"/>
        </w:rPr>
        <w:tab/>
      </w:r>
      <w:r w:rsidRPr="00BA272D">
        <w:rPr>
          <w:rFonts w:ascii="Arial" w:eastAsia="Calibri" w:hAnsi="Arial" w:cs="Arial"/>
          <w:spacing w:val="-1"/>
          <w:sz w:val="17"/>
          <w:szCs w:val="17"/>
        </w:rPr>
        <w:tab/>
      </w:r>
      <w:r w:rsidRPr="00BA272D">
        <w:rPr>
          <w:rFonts w:ascii="Arial" w:eastAsia="Calibri" w:hAnsi="Arial" w:cs="Arial"/>
          <w:spacing w:val="-1"/>
          <w:sz w:val="17"/>
          <w:szCs w:val="17"/>
        </w:rPr>
        <w:tab/>
      </w:r>
      <w:r w:rsidRPr="00BA272D">
        <w:rPr>
          <w:rFonts w:ascii="Arial" w:eastAsia="Calibri" w:hAnsi="Arial" w:cs="Arial"/>
          <w:spacing w:val="-1"/>
          <w:sz w:val="17"/>
          <w:szCs w:val="17"/>
        </w:rPr>
        <w:tab/>
      </w:r>
      <w:r w:rsidRPr="00BA272D">
        <w:rPr>
          <w:rFonts w:ascii="Arial" w:eastAsia="Calibri" w:hAnsi="Arial" w:cs="Arial"/>
          <w:spacing w:val="-1"/>
          <w:sz w:val="17"/>
          <w:szCs w:val="17"/>
        </w:rPr>
        <w:tab/>
      </w:r>
    </w:p>
    <w:p w:rsidR="00F71E5C" w:rsidRPr="00BA272D" w:rsidRDefault="00F71E5C" w:rsidP="00F71E5C">
      <w:pPr>
        <w:spacing w:before="80" w:line="250" w:lineRule="exact"/>
        <w:ind w:left="6381"/>
        <w:jc w:val="both"/>
        <w:rPr>
          <w:rFonts w:ascii="Arial" w:eastAsia="Calibri" w:hAnsi="Arial" w:cs="Arial"/>
          <w:spacing w:val="-1"/>
          <w:sz w:val="17"/>
          <w:szCs w:val="17"/>
        </w:rPr>
      </w:pPr>
      <w:r w:rsidRPr="00BA272D">
        <w:rPr>
          <w:rFonts w:ascii="Arial" w:eastAsia="Calibri" w:hAnsi="Arial" w:cs="Arial"/>
          <w:b/>
          <w:spacing w:val="-1"/>
          <w:sz w:val="17"/>
          <w:szCs w:val="17"/>
        </w:rPr>
        <w:t>(Pesos)</w:t>
      </w:r>
    </w:p>
    <w:tbl>
      <w:tblPr>
        <w:tblW w:w="6340" w:type="dxa"/>
        <w:tblInd w:w="3610" w:type="dxa"/>
        <w:tblCellMar>
          <w:left w:w="70" w:type="dxa"/>
          <w:right w:w="70" w:type="dxa"/>
        </w:tblCellMar>
        <w:tblLook w:val="04A0" w:firstRow="1" w:lastRow="0" w:firstColumn="1" w:lastColumn="0" w:noHBand="0" w:noVBand="1"/>
      </w:tblPr>
      <w:tblGrid>
        <w:gridCol w:w="3696"/>
        <w:gridCol w:w="1322"/>
        <w:gridCol w:w="1322"/>
      </w:tblGrid>
      <w:tr w:rsidR="0068274A" w:rsidRPr="0068274A" w:rsidTr="0068274A">
        <w:trPr>
          <w:trHeight w:val="300"/>
        </w:trPr>
        <w:tc>
          <w:tcPr>
            <w:tcW w:w="36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8274A" w:rsidRPr="0068274A" w:rsidRDefault="0068274A" w:rsidP="0068274A">
            <w:pPr>
              <w:jc w:val="center"/>
              <w:rPr>
                <w:rFonts w:ascii="Arial" w:hAnsi="Arial" w:cs="Arial"/>
                <w:b/>
                <w:bCs/>
                <w:color w:val="000000"/>
                <w:sz w:val="17"/>
                <w:szCs w:val="17"/>
              </w:rPr>
            </w:pPr>
            <w:r w:rsidRPr="0068274A">
              <w:rPr>
                <w:rFonts w:ascii="Arial" w:hAnsi="Arial" w:cs="Arial"/>
                <w:b/>
                <w:bCs/>
                <w:color w:val="000000"/>
                <w:sz w:val="17"/>
                <w:szCs w:val="17"/>
              </w:rPr>
              <w:t>Cuenta</w:t>
            </w:r>
          </w:p>
        </w:tc>
        <w:tc>
          <w:tcPr>
            <w:tcW w:w="1322" w:type="dxa"/>
            <w:tcBorders>
              <w:top w:val="single" w:sz="4" w:space="0" w:color="auto"/>
              <w:left w:val="nil"/>
              <w:bottom w:val="single" w:sz="4" w:space="0" w:color="auto"/>
              <w:right w:val="single" w:sz="4" w:space="0" w:color="auto"/>
            </w:tcBorders>
            <w:shd w:val="clear" w:color="000000" w:fill="BFBFBF"/>
            <w:vAlign w:val="center"/>
            <w:hideMark/>
          </w:tcPr>
          <w:p w:rsidR="0068274A" w:rsidRPr="0068274A" w:rsidRDefault="0068274A" w:rsidP="0068274A">
            <w:pPr>
              <w:jc w:val="center"/>
              <w:rPr>
                <w:rFonts w:ascii="Arial" w:hAnsi="Arial" w:cs="Arial"/>
                <w:b/>
                <w:bCs/>
                <w:color w:val="000000"/>
                <w:sz w:val="17"/>
                <w:szCs w:val="17"/>
              </w:rPr>
            </w:pPr>
            <w:r w:rsidRPr="0068274A">
              <w:rPr>
                <w:rFonts w:ascii="Arial" w:hAnsi="Arial" w:cs="Arial"/>
                <w:b/>
                <w:bCs/>
                <w:color w:val="000000"/>
                <w:sz w:val="17"/>
                <w:szCs w:val="17"/>
              </w:rPr>
              <w:t>2021</w:t>
            </w:r>
          </w:p>
        </w:tc>
        <w:tc>
          <w:tcPr>
            <w:tcW w:w="1322" w:type="dxa"/>
            <w:tcBorders>
              <w:top w:val="single" w:sz="4" w:space="0" w:color="auto"/>
              <w:left w:val="nil"/>
              <w:bottom w:val="single" w:sz="4" w:space="0" w:color="auto"/>
              <w:right w:val="single" w:sz="4" w:space="0" w:color="auto"/>
            </w:tcBorders>
            <w:shd w:val="clear" w:color="000000" w:fill="BFBFBF"/>
            <w:vAlign w:val="center"/>
            <w:hideMark/>
          </w:tcPr>
          <w:p w:rsidR="0068274A" w:rsidRPr="0068274A" w:rsidRDefault="0068274A" w:rsidP="0068274A">
            <w:pPr>
              <w:jc w:val="center"/>
              <w:rPr>
                <w:rFonts w:ascii="Arial" w:hAnsi="Arial" w:cs="Arial"/>
                <w:b/>
                <w:bCs/>
                <w:color w:val="000000"/>
                <w:sz w:val="17"/>
                <w:szCs w:val="17"/>
              </w:rPr>
            </w:pPr>
            <w:r w:rsidRPr="0068274A">
              <w:rPr>
                <w:rFonts w:ascii="Arial" w:hAnsi="Arial" w:cs="Arial"/>
                <w:b/>
                <w:bCs/>
                <w:color w:val="000000"/>
                <w:sz w:val="17"/>
                <w:szCs w:val="17"/>
              </w:rPr>
              <w:t>2020</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rPr>
                <w:rFonts w:ascii="Arial" w:hAnsi="Arial" w:cs="Arial"/>
                <w:b/>
                <w:bCs/>
                <w:color w:val="000000"/>
                <w:sz w:val="17"/>
                <w:szCs w:val="17"/>
              </w:rPr>
            </w:pPr>
            <w:r w:rsidRPr="0068274A">
              <w:rPr>
                <w:rFonts w:ascii="Arial" w:hAnsi="Arial" w:cs="Arial"/>
                <w:b/>
                <w:bCs/>
                <w:color w:val="000000"/>
                <w:sz w:val="17"/>
                <w:szCs w:val="17"/>
              </w:rPr>
              <w:t>Gastos de Funcionamiento</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4,002,642,431</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3,690,739,612</w:t>
            </w:r>
          </w:p>
        </w:tc>
      </w:tr>
      <w:tr w:rsidR="0068274A" w:rsidRPr="0068274A" w:rsidTr="0068274A">
        <w:trPr>
          <w:trHeight w:val="45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ind w:firstLineChars="400" w:firstLine="680"/>
              <w:rPr>
                <w:rFonts w:ascii="Arial" w:hAnsi="Arial" w:cs="Arial"/>
                <w:color w:val="000000"/>
                <w:sz w:val="17"/>
                <w:szCs w:val="17"/>
              </w:rPr>
            </w:pPr>
            <w:r w:rsidRPr="0068274A">
              <w:rPr>
                <w:rFonts w:ascii="Arial" w:hAnsi="Arial" w:cs="Arial"/>
                <w:color w:val="000000"/>
                <w:sz w:val="17"/>
                <w:szCs w:val="17"/>
              </w:rPr>
              <w:t>Servicios Personales</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2,481,040,153</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2,310,479,943</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ind w:firstLineChars="400" w:firstLine="680"/>
              <w:rPr>
                <w:rFonts w:ascii="Arial" w:hAnsi="Arial" w:cs="Arial"/>
                <w:color w:val="000000"/>
                <w:sz w:val="17"/>
                <w:szCs w:val="17"/>
              </w:rPr>
            </w:pPr>
            <w:r w:rsidRPr="0068274A">
              <w:rPr>
                <w:rFonts w:ascii="Arial" w:hAnsi="Arial" w:cs="Arial"/>
                <w:color w:val="000000"/>
                <w:sz w:val="17"/>
                <w:szCs w:val="17"/>
              </w:rPr>
              <w:t>Materiales y Suministros</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200,011,922</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205,972,317</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ind w:firstLineChars="400" w:firstLine="680"/>
              <w:rPr>
                <w:rFonts w:ascii="Arial" w:hAnsi="Arial" w:cs="Arial"/>
                <w:color w:val="000000"/>
                <w:sz w:val="17"/>
                <w:szCs w:val="17"/>
              </w:rPr>
            </w:pPr>
            <w:r w:rsidRPr="0068274A">
              <w:rPr>
                <w:rFonts w:ascii="Arial" w:hAnsi="Arial" w:cs="Arial"/>
                <w:color w:val="000000"/>
                <w:sz w:val="17"/>
                <w:szCs w:val="17"/>
              </w:rPr>
              <w:t>Servicios Generales</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1,321,590,357</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1,174,287,352</w:t>
            </w:r>
          </w:p>
        </w:tc>
      </w:tr>
      <w:tr w:rsidR="0068274A" w:rsidRPr="0068274A" w:rsidTr="0068274A">
        <w:trPr>
          <w:trHeight w:val="45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rPr>
                <w:rFonts w:ascii="Arial" w:hAnsi="Arial" w:cs="Arial"/>
                <w:b/>
                <w:bCs/>
                <w:color w:val="000000"/>
                <w:sz w:val="17"/>
                <w:szCs w:val="17"/>
              </w:rPr>
            </w:pPr>
            <w:r w:rsidRPr="0068274A">
              <w:rPr>
                <w:rFonts w:ascii="Arial" w:hAnsi="Arial" w:cs="Arial"/>
                <w:b/>
                <w:bCs/>
                <w:color w:val="000000"/>
                <w:sz w:val="17"/>
                <w:szCs w:val="17"/>
              </w:rPr>
              <w:t>Transferencias, Asignaciones, Subsidios y Otras Ayudas</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25,807,676,901</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24,702,959,595</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rPr>
                <w:rFonts w:ascii="Arial" w:hAnsi="Arial" w:cs="Arial"/>
                <w:b/>
                <w:bCs/>
                <w:color w:val="000000"/>
                <w:sz w:val="17"/>
                <w:szCs w:val="17"/>
              </w:rPr>
            </w:pPr>
            <w:r w:rsidRPr="0068274A">
              <w:rPr>
                <w:rFonts w:ascii="Arial" w:hAnsi="Arial" w:cs="Arial"/>
                <w:b/>
                <w:bCs/>
                <w:color w:val="000000"/>
                <w:sz w:val="17"/>
                <w:szCs w:val="17"/>
              </w:rPr>
              <w:t>Participaciones y Aportaciones</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9,708,462,223</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9,755,737,597</w:t>
            </w:r>
          </w:p>
        </w:tc>
      </w:tr>
      <w:tr w:rsidR="0068274A" w:rsidRPr="0068274A" w:rsidTr="0068274A">
        <w:trPr>
          <w:trHeight w:val="45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rPr>
                <w:rFonts w:ascii="Arial" w:hAnsi="Arial" w:cs="Arial"/>
                <w:b/>
                <w:bCs/>
                <w:color w:val="000000"/>
                <w:sz w:val="17"/>
                <w:szCs w:val="17"/>
              </w:rPr>
            </w:pPr>
            <w:r w:rsidRPr="0068274A">
              <w:rPr>
                <w:rFonts w:ascii="Arial" w:hAnsi="Arial" w:cs="Arial"/>
                <w:b/>
                <w:bCs/>
                <w:color w:val="000000"/>
                <w:sz w:val="17"/>
                <w:szCs w:val="17"/>
              </w:rPr>
              <w:t>Intereses, Comisiones y Otros Gastos de la Deuda Pública</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3,555,980</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13,613,338</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rPr>
                <w:rFonts w:ascii="Arial" w:hAnsi="Arial" w:cs="Arial"/>
                <w:b/>
                <w:bCs/>
                <w:color w:val="000000"/>
                <w:sz w:val="17"/>
                <w:szCs w:val="17"/>
              </w:rPr>
            </w:pPr>
            <w:r w:rsidRPr="0068274A">
              <w:rPr>
                <w:rFonts w:ascii="Arial" w:hAnsi="Arial" w:cs="Arial"/>
                <w:b/>
                <w:bCs/>
                <w:color w:val="000000"/>
                <w:sz w:val="17"/>
                <w:szCs w:val="17"/>
              </w:rPr>
              <w:t>Otros Gastos y Pérdidas Extraordinarias</w:t>
            </w:r>
          </w:p>
        </w:tc>
        <w:tc>
          <w:tcPr>
            <w:tcW w:w="1322" w:type="dxa"/>
            <w:tcBorders>
              <w:top w:val="nil"/>
              <w:left w:val="nil"/>
              <w:bottom w:val="single" w:sz="4" w:space="0" w:color="auto"/>
              <w:right w:val="single" w:sz="4" w:space="0" w:color="auto"/>
            </w:tcBorders>
            <w:shd w:val="clear" w:color="000000" w:fill="FFFFFF"/>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824,726,335</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1,415,262,643</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auto" w:fill="auto"/>
            <w:vAlign w:val="center"/>
            <w:hideMark/>
          </w:tcPr>
          <w:p w:rsidR="0068274A" w:rsidRPr="0068274A" w:rsidRDefault="0068274A" w:rsidP="0068274A">
            <w:pPr>
              <w:rPr>
                <w:rFonts w:ascii="Arial" w:hAnsi="Arial" w:cs="Arial"/>
                <w:b/>
                <w:bCs/>
                <w:color w:val="000000"/>
                <w:sz w:val="17"/>
                <w:szCs w:val="17"/>
              </w:rPr>
            </w:pPr>
            <w:r w:rsidRPr="0068274A">
              <w:rPr>
                <w:rFonts w:ascii="Arial" w:hAnsi="Arial" w:cs="Arial"/>
                <w:b/>
                <w:bCs/>
                <w:color w:val="000000"/>
                <w:sz w:val="17"/>
                <w:szCs w:val="17"/>
              </w:rPr>
              <w:t>Inversión Pública</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366,211,017</w:t>
            </w:r>
          </w:p>
        </w:tc>
        <w:tc>
          <w:tcPr>
            <w:tcW w:w="1322" w:type="dxa"/>
            <w:tcBorders>
              <w:top w:val="nil"/>
              <w:left w:val="nil"/>
              <w:bottom w:val="single" w:sz="4" w:space="0" w:color="auto"/>
              <w:right w:val="single" w:sz="4" w:space="0" w:color="auto"/>
            </w:tcBorders>
            <w:shd w:val="clear" w:color="auto" w:fill="auto"/>
            <w:vAlign w:val="center"/>
            <w:hideMark/>
          </w:tcPr>
          <w:p w:rsidR="0068274A" w:rsidRPr="0068274A" w:rsidRDefault="0068274A" w:rsidP="0068274A">
            <w:pPr>
              <w:jc w:val="right"/>
              <w:rPr>
                <w:rFonts w:ascii="Arial" w:hAnsi="Arial" w:cs="Arial"/>
                <w:color w:val="000000"/>
                <w:sz w:val="17"/>
                <w:szCs w:val="17"/>
              </w:rPr>
            </w:pPr>
            <w:r w:rsidRPr="0068274A">
              <w:rPr>
                <w:rFonts w:ascii="Arial" w:hAnsi="Arial" w:cs="Arial"/>
                <w:color w:val="000000"/>
                <w:sz w:val="17"/>
                <w:szCs w:val="17"/>
              </w:rPr>
              <w:t>657,909,653</w:t>
            </w:r>
          </w:p>
        </w:tc>
      </w:tr>
      <w:tr w:rsidR="0068274A" w:rsidRPr="0068274A" w:rsidTr="0068274A">
        <w:trPr>
          <w:trHeight w:val="300"/>
        </w:trPr>
        <w:tc>
          <w:tcPr>
            <w:tcW w:w="3696" w:type="dxa"/>
            <w:tcBorders>
              <w:top w:val="nil"/>
              <w:left w:val="single" w:sz="4" w:space="0" w:color="auto"/>
              <w:bottom w:val="single" w:sz="4" w:space="0" w:color="auto"/>
              <w:right w:val="single" w:sz="4" w:space="0" w:color="auto"/>
            </w:tcBorders>
            <w:shd w:val="clear" w:color="000000" w:fill="BFBFBF"/>
            <w:vAlign w:val="center"/>
            <w:hideMark/>
          </w:tcPr>
          <w:p w:rsidR="0068274A" w:rsidRPr="0068274A" w:rsidRDefault="0068274A" w:rsidP="0068274A">
            <w:pPr>
              <w:jc w:val="center"/>
              <w:rPr>
                <w:rFonts w:ascii="Arial" w:hAnsi="Arial" w:cs="Arial"/>
                <w:b/>
                <w:bCs/>
                <w:color w:val="000000"/>
                <w:sz w:val="17"/>
                <w:szCs w:val="17"/>
              </w:rPr>
            </w:pPr>
            <w:r w:rsidRPr="0068274A">
              <w:rPr>
                <w:rFonts w:ascii="Arial" w:hAnsi="Arial" w:cs="Arial"/>
                <w:b/>
                <w:bCs/>
                <w:color w:val="000000"/>
                <w:sz w:val="17"/>
                <w:szCs w:val="17"/>
              </w:rPr>
              <w:t>Gastos y Otras Pérdidas</w:t>
            </w:r>
          </w:p>
        </w:tc>
        <w:tc>
          <w:tcPr>
            <w:tcW w:w="1322" w:type="dxa"/>
            <w:tcBorders>
              <w:top w:val="nil"/>
              <w:left w:val="nil"/>
              <w:bottom w:val="single" w:sz="4" w:space="0" w:color="auto"/>
              <w:right w:val="single" w:sz="4" w:space="0" w:color="auto"/>
            </w:tcBorders>
            <w:shd w:val="clear" w:color="000000" w:fill="BFBFBF"/>
            <w:vAlign w:val="center"/>
            <w:hideMark/>
          </w:tcPr>
          <w:p w:rsidR="0068274A" w:rsidRPr="0068274A" w:rsidRDefault="0068274A" w:rsidP="0068274A">
            <w:pPr>
              <w:jc w:val="right"/>
              <w:rPr>
                <w:rFonts w:ascii="Arial" w:hAnsi="Arial" w:cs="Arial"/>
                <w:b/>
                <w:bCs/>
                <w:color w:val="000000"/>
                <w:sz w:val="17"/>
                <w:szCs w:val="17"/>
              </w:rPr>
            </w:pPr>
            <w:r w:rsidRPr="0068274A">
              <w:rPr>
                <w:rFonts w:ascii="Arial" w:hAnsi="Arial" w:cs="Arial"/>
                <w:b/>
                <w:bCs/>
                <w:color w:val="000000"/>
                <w:sz w:val="17"/>
                <w:szCs w:val="17"/>
              </w:rPr>
              <w:t>40,713,274,888</w:t>
            </w:r>
          </w:p>
        </w:tc>
        <w:tc>
          <w:tcPr>
            <w:tcW w:w="1322" w:type="dxa"/>
            <w:tcBorders>
              <w:top w:val="nil"/>
              <w:left w:val="nil"/>
              <w:bottom w:val="single" w:sz="4" w:space="0" w:color="auto"/>
              <w:right w:val="single" w:sz="4" w:space="0" w:color="auto"/>
            </w:tcBorders>
            <w:shd w:val="clear" w:color="000000" w:fill="BFBFBF"/>
            <w:vAlign w:val="center"/>
            <w:hideMark/>
          </w:tcPr>
          <w:p w:rsidR="0068274A" w:rsidRPr="0068274A" w:rsidRDefault="0068274A" w:rsidP="0068274A">
            <w:pPr>
              <w:jc w:val="right"/>
              <w:rPr>
                <w:rFonts w:ascii="Arial" w:hAnsi="Arial" w:cs="Arial"/>
                <w:b/>
                <w:bCs/>
                <w:color w:val="000000"/>
                <w:sz w:val="17"/>
                <w:szCs w:val="17"/>
              </w:rPr>
            </w:pPr>
            <w:r w:rsidRPr="0068274A">
              <w:rPr>
                <w:rFonts w:ascii="Arial" w:hAnsi="Arial" w:cs="Arial"/>
                <w:b/>
                <w:bCs/>
                <w:color w:val="000000"/>
                <w:sz w:val="17"/>
                <w:szCs w:val="17"/>
              </w:rPr>
              <w:t>40,236,222,438</w:t>
            </w:r>
          </w:p>
        </w:tc>
      </w:tr>
    </w:tbl>
    <w:p w:rsidR="006C5553" w:rsidRPr="00BA272D" w:rsidRDefault="00F71E5C" w:rsidP="000C5793">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El incremento del </w:t>
      </w:r>
      <w:r w:rsidR="006C5553" w:rsidRPr="00BA272D">
        <w:rPr>
          <w:rFonts w:ascii="Arial" w:eastAsia="Calibri" w:hAnsi="Arial" w:cs="Arial"/>
          <w:spacing w:val="-1"/>
          <w:sz w:val="17"/>
          <w:szCs w:val="17"/>
        </w:rPr>
        <w:t>4</w:t>
      </w:r>
      <w:r w:rsidRPr="00BA272D">
        <w:rPr>
          <w:rFonts w:ascii="Arial" w:eastAsia="Calibri" w:hAnsi="Arial" w:cs="Arial"/>
          <w:spacing w:val="-1"/>
          <w:sz w:val="17"/>
          <w:szCs w:val="17"/>
        </w:rPr>
        <w:t xml:space="preserve">% </w:t>
      </w:r>
      <w:r w:rsidR="006C5553" w:rsidRPr="00BA272D">
        <w:rPr>
          <w:rFonts w:ascii="Arial" w:eastAsia="Calibri" w:hAnsi="Arial" w:cs="Arial"/>
          <w:spacing w:val="-1"/>
          <w:sz w:val="17"/>
          <w:szCs w:val="17"/>
        </w:rPr>
        <w:t xml:space="preserve">en </w:t>
      </w:r>
      <w:r w:rsidRPr="00BA272D">
        <w:rPr>
          <w:rFonts w:ascii="Arial" w:eastAsia="Calibri" w:hAnsi="Arial" w:cs="Arial"/>
          <w:spacing w:val="-1"/>
          <w:sz w:val="17"/>
          <w:szCs w:val="17"/>
        </w:rPr>
        <w:t>el grupo de Transferencias, Asignaciones, Subsidios y Otras Ayudas</w:t>
      </w:r>
      <w:r w:rsidR="006C5553" w:rsidRPr="00BA272D">
        <w:rPr>
          <w:rFonts w:ascii="Arial" w:eastAsia="Calibri" w:hAnsi="Arial" w:cs="Arial"/>
          <w:spacing w:val="-1"/>
          <w:sz w:val="17"/>
          <w:szCs w:val="17"/>
        </w:rPr>
        <w:t>, obedece principalmente a</w:t>
      </w:r>
      <w:r w:rsidRPr="00BA272D">
        <w:rPr>
          <w:rFonts w:ascii="Arial" w:eastAsia="Calibri" w:hAnsi="Arial" w:cs="Arial"/>
          <w:spacing w:val="-1"/>
          <w:sz w:val="17"/>
          <w:szCs w:val="17"/>
        </w:rPr>
        <w:t xml:space="preserve">l aumento por concepto de Transferencias al Resto del Sector Público </w:t>
      </w:r>
      <w:r w:rsidR="006C5553" w:rsidRPr="00BA272D">
        <w:rPr>
          <w:rFonts w:ascii="Arial" w:eastAsia="Calibri" w:hAnsi="Arial" w:cs="Arial"/>
          <w:spacing w:val="-1"/>
          <w:sz w:val="17"/>
          <w:szCs w:val="17"/>
        </w:rPr>
        <w:t>por 464</w:t>
      </w:r>
      <w:r w:rsidR="00806497" w:rsidRPr="00BA272D">
        <w:rPr>
          <w:rFonts w:ascii="Arial" w:eastAsia="Calibri" w:hAnsi="Arial" w:cs="Arial"/>
          <w:spacing w:val="-1"/>
          <w:sz w:val="17"/>
          <w:szCs w:val="17"/>
        </w:rPr>
        <w:t>, 263,614</w:t>
      </w:r>
      <w:r w:rsidR="006C5553" w:rsidRPr="00BA272D">
        <w:rPr>
          <w:rFonts w:ascii="Arial" w:eastAsia="Calibri" w:hAnsi="Arial" w:cs="Arial"/>
          <w:spacing w:val="-1"/>
          <w:sz w:val="17"/>
          <w:szCs w:val="17"/>
        </w:rPr>
        <w:t xml:space="preserve"> </w:t>
      </w:r>
      <w:r w:rsidRPr="00BA272D">
        <w:rPr>
          <w:rFonts w:ascii="Arial" w:eastAsia="Calibri" w:hAnsi="Arial" w:cs="Arial"/>
          <w:spacing w:val="-1"/>
          <w:sz w:val="17"/>
          <w:szCs w:val="17"/>
        </w:rPr>
        <w:t>y Transferencias Internas y Asignaciones al Sector Público</w:t>
      </w:r>
      <w:r w:rsidR="006C5553" w:rsidRPr="00BA272D">
        <w:rPr>
          <w:rFonts w:ascii="Arial" w:eastAsia="Calibri" w:hAnsi="Arial" w:cs="Arial"/>
          <w:spacing w:val="-1"/>
          <w:sz w:val="17"/>
          <w:szCs w:val="17"/>
        </w:rPr>
        <w:t xml:space="preserve"> por 455</w:t>
      </w:r>
      <w:r w:rsidR="00806497" w:rsidRPr="00BA272D">
        <w:rPr>
          <w:rFonts w:ascii="Arial" w:eastAsia="Calibri" w:hAnsi="Arial" w:cs="Arial"/>
          <w:spacing w:val="-1"/>
          <w:sz w:val="17"/>
          <w:szCs w:val="17"/>
        </w:rPr>
        <w:t>, 873,627</w:t>
      </w:r>
      <w:r w:rsidRPr="00BA272D">
        <w:rPr>
          <w:rFonts w:ascii="Arial" w:eastAsia="Calibri" w:hAnsi="Arial" w:cs="Arial"/>
          <w:spacing w:val="-1"/>
          <w:sz w:val="17"/>
          <w:szCs w:val="17"/>
        </w:rPr>
        <w:t>.</w:t>
      </w:r>
    </w:p>
    <w:p w:rsidR="00806497" w:rsidRDefault="00806497" w:rsidP="00321250">
      <w:pPr>
        <w:spacing w:before="80" w:line="250" w:lineRule="exact"/>
        <w:ind w:left="709"/>
        <w:jc w:val="both"/>
        <w:rPr>
          <w:rFonts w:ascii="Arial" w:eastAsia="Calibri" w:hAnsi="Arial" w:cs="Arial"/>
          <w:spacing w:val="-1"/>
          <w:sz w:val="17"/>
          <w:szCs w:val="17"/>
        </w:rPr>
      </w:pPr>
    </w:p>
    <w:p w:rsidR="00C128BC" w:rsidRPr="00BA272D" w:rsidRDefault="00F71E5C" w:rsidP="001F6631">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Se explican aquellas cuentas de gastos de funcionamiento, transferencias, subsidios y otras ayudas, participaciones y aportaciones, otros gastos y pérdidas extraordinarias, que en lo individual representen el 10% o más del total de los gastos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tbl>
      <w:tblPr>
        <w:tblW w:w="6707" w:type="dxa"/>
        <w:tblInd w:w="2956" w:type="dxa"/>
        <w:tblCellMar>
          <w:left w:w="70" w:type="dxa"/>
          <w:right w:w="70" w:type="dxa"/>
        </w:tblCellMar>
        <w:tblLook w:val="04A0" w:firstRow="1" w:lastRow="0" w:firstColumn="1" w:lastColumn="0" w:noHBand="0" w:noVBand="1"/>
      </w:tblPr>
      <w:tblGrid>
        <w:gridCol w:w="3118"/>
        <w:gridCol w:w="1843"/>
        <w:gridCol w:w="1746"/>
      </w:tblGrid>
      <w:tr w:rsidR="00F71E5C" w:rsidRPr="00BA272D" w:rsidTr="00C128BC">
        <w:trPr>
          <w:trHeight w:val="240"/>
        </w:trPr>
        <w:tc>
          <w:tcPr>
            <w:tcW w:w="3118"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 </w:t>
            </w:r>
            <w:r w:rsidR="008A5AE2">
              <w:rPr>
                <w:rFonts w:ascii="Arial" w:hAnsi="Arial" w:cs="Arial"/>
                <w:b/>
                <w:bCs/>
                <w:color w:val="000000"/>
                <w:sz w:val="17"/>
                <w:szCs w:val="17"/>
              </w:rPr>
              <w:t xml:space="preserve">    </w:t>
            </w:r>
          </w:p>
        </w:tc>
        <w:tc>
          <w:tcPr>
            <w:tcW w:w="1843" w:type="dxa"/>
            <w:tcBorders>
              <w:top w:val="nil"/>
              <w:left w:val="nil"/>
              <w:bottom w:val="nil"/>
              <w:right w:val="nil"/>
            </w:tcBorders>
            <w:shd w:val="clear" w:color="000000" w:fill="FFFFFF"/>
            <w:vAlign w:val="center"/>
            <w:hideMark/>
          </w:tcPr>
          <w:p w:rsidR="00F71E5C" w:rsidRPr="008A5AE2" w:rsidRDefault="008A5AE2" w:rsidP="008A5AE2">
            <w:pPr>
              <w:autoSpaceDE w:val="0"/>
              <w:autoSpaceDN w:val="0"/>
              <w:adjustRightInd w:val="0"/>
              <w:spacing w:before="240"/>
              <w:rPr>
                <w:rFonts w:ascii="Arial" w:eastAsia="Calibri" w:hAnsi="Arial" w:cs="Arial"/>
                <w:b/>
                <w:spacing w:val="-1"/>
                <w:sz w:val="17"/>
                <w:szCs w:val="17"/>
              </w:rPr>
            </w:pPr>
            <w:r>
              <w:rPr>
                <w:rFonts w:ascii="Arial" w:eastAsia="Calibri" w:hAnsi="Arial" w:cs="Arial"/>
                <w:b/>
                <w:spacing w:val="-1"/>
                <w:sz w:val="17"/>
                <w:szCs w:val="17"/>
              </w:rPr>
              <w:t xml:space="preserve">    (Pesos)</w:t>
            </w:r>
            <w:r w:rsidR="00F71E5C" w:rsidRPr="00BA272D">
              <w:rPr>
                <w:rFonts w:ascii="Arial" w:hAnsi="Arial" w:cs="Arial"/>
                <w:b/>
                <w:bCs/>
                <w:color w:val="000000"/>
                <w:sz w:val="17"/>
                <w:szCs w:val="17"/>
              </w:rPr>
              <w:t> </w:t>
            </w:r>
          </w:p>
        </w:tc>
        <w:tc>
          <w:tcPr>
            <w:tcW w:w="1746"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 </w:t>
            </w:r>
          </w:p>
        </w:tc>
      </w:tr>
      <w:tr w:rsidR="00F71E5C" w:rsidRPr="00BA272D" w:rsidTr="003B2BB7">
        <w:trPr>
          <w:trHeight w:val="480"/>
        </w:trPr>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3B2BB7" w:rsidRDefault="00F71E5C" w:rsidP="00F71E5C">
            <w:pPr>
              <w:jc w:val="center"/>
              <w:rPr>
                <w:rFonts w:ascii="Arial" w:hAnsi="Arial" w:cs="Arial"/>
                <w:b/>
                <w:bCs/>
                <w:color w:val="000000"/>
                <w:sz w:val="17"/>
                <w:szCs w:val="17"/>
              </w:rPr>
            </w:pPr>
            <w:r w:rsidRPr="003B2BB7">
              <w:rPr>
                <w:rFonts w:ascii="Arial" w:hAnsi="Arial" w:cs="Arial"/>
                <w:b/>
                <w:bCs/>
                <w:color w:val="000000"/>
                <w:sz w:val="17"/>
                <w:szCs w:val="17"/>
              </w:rPr>
              <w:t>Cuenta</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3B2BB7" w:rsidRDefault="00F71E5C" w:rsidP="00F71E5C">
            <w:pPr>
              <w:jc w:val="center"/>
              <w:rPr>
                <w:rFonts w:ascii="Arial" w:hAnsi="Arial" w:cs="Arial"/>
                <w:b/>
                <w:bCs/>
                <w:color w:val="000000"/>
                <w:sz w:val="17"/>
                <w:szCs w:val="17"/>
              </w:rPr>
            </w:pPr>
            <w:r w:rsidRPr="003B2BB7">
              <w:rPr>
                <w:rFonts w:ascii="Arial" w:hAnsi="Arial" w:cs="Arial"/>
                <w:b/>
                <w:bCs/>
                <w:color w:val="000000"/>
                <w:sz w:val="17"/>
                <w:szCs w:val="17"/>
              </w:rPr>
              <w:t>Monto individual</w:t>
            </w:r>
          </w:p>
        </w:tc>
        <w:tc>
          <w:tcPr>
            <w:tcW w:w="17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3B2BB7" w:rsidRDefault="00F71E5C" w:rsidP="00F71E5C">
            <w:pPr>
              <w:jc w:val="center"/>
              <w:rPr>
                <w:rFonts w:ascii="Arial" w:hAnsi="Arial" w:cs="Arial"/>
                <w:b/>
                <w:bCs/>
                <w:color w:val="000000"/>
                <w:sz w:val="17"/>
                <w:szCs w:val="17"/>
              </w:rPr>
            </w:pPr>
            <w:r w:rsidRPr="003B2BB7">
              <w:rPr>
                <w:rFonts w:ascii="Arial" w:hAnsi="Arial" w:cs="Arial"/>
                <w:b/>
                <w:bCs/>
                <w:color w:val="000000"/>
                <w:sz w:val="17"/>
                <w:szCs w:val="17"/>
              </w:rPr>
              <w:t>Porcentaje del total del gasto</w:t>
            </w:r>
          </w:p>
        </w:tc>
      </w:tr>
      <w:tr w:rsidR="00F71E5C" w:rsidRPr="00BA272D" w:rsidTr="00C128BC">
        <w:trPr>
          <w:trHeight w:val="288"/>
        </w:trPr>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Transferencias otorgadas a entidades paraestatales no empresariales y no financieras</w:t>
            </w:r>
          </w:p>
        </w:tc>
        <w:tc>
          <w:tcPr>
            <w:tcW w:w="1843" w:type="dxa"/>
            <w:tcBorders>
              <w:top w:val="nil"/>
              <w:left w:val="nil"/>
              <w:bottom w:val="single" w:sz="4" w:space="0" w:color="auto"/>
              <w:right w:val="single" w:sz="4" w:space="0" w:color="auto"/>
            </w:tcBorders>
            <w:shd w:val="clear" w:color="auto" w:fill="auto"/>
            <w:vAlign w:val="center"/>
          </w:tcPr>
          <w:p w:rsidR="00F71E5C" w:rsidRPr="00BA272D" w:rsidRDefault="009A47F0" w:rsidP="00F71E5C">
            <w:pPr>
              <w:jc w:val="right"/>
              <w:rPr>
                <w:rFonts w:ascii="Arial" w:hAnsi="Arial" w:cs="Arial"/>
                <w:bCs/>
                <w:color w:val="000000"/>
                <w:sz w:val="17"/>
                <w:szCs w:val="17"/>
                <w:highlight w:val="yellow"/>
              </w:rPr>
            </w:pPr>
            <w:r w:rsidRPr="00BA272D">
              <w:rPr>
                <w:rFonts w:ascii="Arial" w:hAnsi="Arial" w:cs="Arial"/>
                <w:bCs/>
                <w:color w:val="000000"/>
                <w:sz w:val="17"/>
                <w:szCs w:val="17"/>
              </w:rPr>
              <w:t>19,120,347,652</w:t>
            </w:r>
          </w:p>
        </w:tc>
        <w:tc>
          <w:tcPr>
            <w:tcW w:w="1746" w:type="dxa"/>
            <w:tcBorders>
              <w:top w:val="nil"/>
              <w:left w:val="nil"/>
              <w:bottom w:val="single" w:sz="4" w:space="0" w:color="auto"/>
              <w:right w:val="single" w:sz="4" w:space="0" w:color="auto"/>
            </w:tcBorders>
            <w:shd w:val="clear" w:color="auto" w:fill="auto"/>
            <w:vAlign w:val="center"/>
          </w:tcPr>
          <w:p w:rsidR="00F71E5C" w:rsidRPr="00BA272D" w:rsidRDefault="009A47F0" w:rsidP="00F71E5C">
            <w:pPr>
              <w:jc w:val="right"/>
              <w:rPr>
                <w:rFonts w:ascii="Arial" w:hAnsi="Arial" w:cs="Arial"/>
                <w:bCs/>
                <w:color w:val="000000"/>
                <w:sz w:val="17"/>
                <w:szCs w:val="17"/>
              </w:rPr>
            </w:pPr>
            <w:r w:rsidRPr="00BA272D">
              <w:rPr>
                <w:rFonts w:ascii="Arial" w:hAnsi="Arial" w:cs="Arial"/>
                <w:bCs/>
                <w:color w:val="000000"/>
                <w:sz w:val="17"/>
                <w:szCs w:val="17"/>
              </w:rPr>
              <w:t>48</w:t>
            </w:r>
            <w:r w:rsidR="00F71E5C" w:rsidRPr="00BA272D">
              <w:rPr>
                <w:rFonts w:ascii="Arial" w:hAnsi="Arial" w:cs="Arial"/>
                <w:bCs/>
                <w:color w:val="000000"/>
                <w:sz w:val="17"/>
                <w:szCs w:val="17"/>
              </w:rPr>
              <w:t>%</w:t>
            </w:r>
          </w:p>
        </w:tc>
      </w:tr>
    </w:tbl>
    <w:p w:rsidR="008A5AE2" w:rsidRDefault="008A5AE2" w:rsidP="001F6631">
      <w:pPr>
        <w:spacing w:before="80" w:line="250" w:lineRule="exact"/>
        <w:ind w:left="851"/>
        <w:jc w:val="both"/>
        <w:rPr>
          <w:rFonts w:ascii="Arial" w:eastAsia="Calibri" w:hAnsi="Arial" w:cs="Arial"/>
          <w:spacing w:val="-1"/>
          <w:sz w:val="17"/>
          <w:szCs w:val="17"/>
        </w:rPr>
      </w:pPr>
    </w:p>
    <w:p w:rsidR="001F6631" w:rsidRDefault="001F6631" w:rsidP="001F6631">
      <w:pPr>
        <w:spacing w:before="80" w:line="250" w:lineRule="exact"/>
        <w:ind w:left="851"/>
        <w:jc w:val="both"/>
        <w:rPr>
          <w:rFonts w:ascii="Arial" w:hAnsi="Arial" w:cs="Arial"/>
          <w:color w:val="000000"/>
          <w:sz w:val="17"/>
          <w:szCs w:val="17"/>
        </w:rPr>
      </w:pPr>
      <w:r w:rsidRPr="00C128BC">
        <w:rPr>
          <w:rFonts w:ascii="Arial" w:eastAsia="Calibri" w:hAnsi="Arial" w:cs="Arial"/>
          <w:spacing w:val="-1"/>
          <w:sz w:val="17"/>
          <w:szCs w:val="17"/>
        </w:rPr>
        <w:t xml:space="preserve">Dentro del rubro de </w:t>
      </w:r>
      <w:r w:rsidRPr="00C128BC">
        <w:rPr>
          <w:rFonts w:ascii="Arial" w:hAnsi="Arial" w:cs="Arial"/>
          <w:color w:val="000000"/>
          <w:sz w:val="17"/>
          <w:szCs w:val="17"/>
        </w:rPr>
        <w:t>Transferencias otorgadas a entidades paraestatales no empresariales y no financieras, se encuentran los montos destinados para la ejecución de obras públicas que realizaron diversa Entidades Paraestatales y Municipios como se detalla a continuación:</w:t>
      </w:r>
    </w:p>
    <w:p w:rsidR="008A5AE2" w:rsidRDefault="008A5AE2" w:rsidP="001F6631">
      <w:pPr>
        <w:spacing w:before="80" w:line="250" w:lineRule="exact"/>
        <w:ind w:left="851"/>
        <w:jc w:val="both"/>
        <w:rPr>
          <w:rFonts w:ascii="Arial" w:hAnsi="Arial" w:cs="Arial"/>
          <w:color w:val="000000"/>
          <w:sz w:val="17"/>
          <w:szCs w:val="17"/>
        </w:rPr>
      </w:pPr>
    </w:p>
    <w:p w:rsidR="008A5AE2" w:rsidRPr="008A5AE2" w:rsidRDefault="008A5AE2" w:rsidP="008A5AE2">
      <w:pPr>
        <w:autoSpaceDE w:val="0"/>
        <w:autoSpaceDN w:val="0"/>
        <w:adjustRightInd w:val="0"/>
        <w:ind w:left="851"/>
        <w:jc w:val="center"/>
        <w:rPr>
          <w:rFonts w:ascii="Arial" w:eastAsia="Calibri" w:hAnsi="Arial" w:cs="Arial"/>
          <w:b/>
          <w:spacing w:val="-1"/>
          <w:sz w:val="17"/>
          <w:szCs w:val="17"/>
        </w:rPr>
      </w:pPr>
      <w:r>
        <w:rPr>
          <w:rFonts w:ascii="Arial" w:eastAsia="Calibri" w:hAnsi="Arial" w:cs="Arial"/>
          <w:b/>
          <w:spacing w:val="-1"/>
          <w:sz w:val="17"/>
          <w:szCs w:val="17"/>
        </w:rPr>
        <w:t>(Pesos)</w:t>
      </w:r>
    </w:p>
    <w:tbl>
      <w:tblPr>
        <w:tblpPr w:leftFromText="141" w:rightFromText="141" w:vertAnchor="text" w:horzAnchor="margin" w:tblpXSpec="center" w:tblpY="234"/>
        <w:tblW w:w="8680" w:type="dxa"/>
        <w:tblCellMar>
          <w:left w:w="70" w:type="dxa"/>
          <w:right w:w="70" w:type="dxa"/>
        </w:tblCellMar>
        <w:tblLook w:val="04A0" w:firstRow="1" w:lastRow="0" w:firstColumn="1" w:lastColumn="0" w:noHBand="0" w:noVBand="1"/>
      </w:tblPr>
      <w:tblGrid>
        <w:gridCol w:w="5548"/>
        <w:gridCol w:w="1566"/>
        <w:gridCol w:w="1566"/>
      </w:tblGrid>
      <w:tr w:rsidR="001F6631" w:rsidRPr="00C128BC" w:rsidTr="008A5AE2">
        <w:trPr>
          <w:trHeight w:val="233"/>
        </w:trPr>
        <w:tc>
          <w:tcPr>
            <w:tcW w:w="5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F6631" w:rsidRPr="00C128BC" w:rsidRDefault="008A5AE2" w:rsidP="008A5AE2">
            <w:pPr>
              <w:jc w:val="center"/>
              <w:rPr>
                <w:rFonts w:ascii="Arial" w:hAnsi="Arial" w:cs="Arial"/>
                <w:b/>
                <w:bCs/>
                <w:color w:val="000000"/>
                <w:sz w:val="17"/>
                <w:szCs w:val="17"/>
              </w:rPr>
            </w:pPr>
            <w:r w:rsidRPr="00C128BC">
              <w:rPr>
                <w:rFonts w:ascii="Arial" w:hAnsi="Arial" w:cs="Arial"/>
                <w:b/>
                <w:bCs/>
                <w:color w:val="000000"/>
                <w:sz w:val="17"/>
                <w:szCs w:val="17"/>
              </w:rPr>
              <w:t>Ejecutor</w:t>
            </w:r>
          </w:p>
        </w:tc>
        <w:tc>
          <w:tcPr>
            <w:tcW w:w="15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6631" w:rsidRPr="00C128BC" w:rsidRDefault="008A5AE2" w:rsidP="008A5AE2">
            <w:pPr>
              <w:jc w:val="center"/>
              <w:rPr>
                <w:rFonts w:ascii="Arial" w:hAnsi="Arial" w:cs="Arial"/>
                <w:b/>
                <w:bCs/>
                <w:color w:val="000000"/>
                <w:sz w:val="17"/>
                <w:szCs w:val="17"/>
              </w:rPr>
            </w:pPr>
            <w:r w:rsidRPr="00C128BC">
              <w:rPr>
                <w:rFonts w:ascii="Arial" w:hAnsi="Arial" w:cs="Arial"/>
                <w:b/>
                <w:bCs/>
                <w:color w:val="000000"/>
                <w:sz w:val="17"/>
                <w:szCs w:val="17"/>
              </w:rPr>
              <w:t xml:space="preserve"> Autorizado </w:t>
            </w:r>
          </w:p>
        </w:tc>
        <w:tc>
          <w:tcPr>
            <w:tcW w:w="15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F6631" w:rsidRPr="00C128BC" w:rsidRDefault="008A5AE2" w:rsidP="008A5AE2">
            <w:pPr>
              <w:jc w:val="center"/>
              <w:rPr>
                <w:rFonts w:ascii="Arial" w:hAnsi="Arial" w:cs="Arial"/>
                <w:b/>
                <w:bCs/>
                <w:color w:val="000000"/>
                <w:sz w:val="17"/>
                <w:szCs w:val="17"/>
              </w:rPr>
            </w:pPr>
            <w:r w:rsidRPr="00C128BC">
              <w:rPr>
                <w:rFonts w:ascii="Arial" w:hAnsi="Arial" w:cs="Arial"/>
                <w:b/>
                <w:bCs/>
                <w:color w:val="000000"/>
                <w:sz w:val="17"/>
                <w:szCs w:val="17"/>
              </w:rPr>
              <w:t xml:space="preserve"> Pagado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vAlign w:val="center"/>
            <w:hideMark/>
          </w:tcPr>
          <w:p w:rsidR="001F6631" w:rsidRPr="00C128BC" w:rsidRDefault="008A5AE2" w:rsidP="001F6631">
            <w:pPr>
              <w:rPr>
                <w:rFonts w:ascii="Arial" w:hAnsi="Arial" w:cs="Arial"/>
                <w:color w:val="000000"/>
                <w:sz w:val="17"/>
                <w:szCs w:val="17"/>
              </w:rPr>
            </w:pPr>
            <w:r>
              <w:rPr>
                <w:rFonts w:ascii="Arial" w:hAnsi="Arial" w:cs="Arial"/>
                <w:color w:val="000000"/>
                <w:sz w:val="17"/>
                <w:szCs w:val="17"/>
              </w:rPr>
              <w:t>Comisión Estatal de I</w:t>
            </w:r>
            <w:r w:rsidRPr="00C128BC">
              <w:rPr>
                <w:rFonts w:ascii="Arial" w:hAnsi="Arial" w:cs="Arial"/>
                <w:color w:val="000000"/>
                <w:sz w:val="17"/>
                <w:szCs w:val="17"/>
              </w:rPr>
              <w:t>nfraestructura de Querétaro</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1,762,480,232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1,376,395,043 </w:t>
            </w:r>
          </w:p>
        </w:tc>
      </w:tr>
      <w:tr w:rsidR="001F6631" w:rsidRPr="00C128BC" w:rsidTr="008A5AE2">
        <w:trPr>
          <w:trHeight w:val="208"/>
        </w:trPr>
        <w:tc>
          <w:tcPr>
            <w:tcW w:w="5548" w:type="dxa"/>
            <w:tcBorders>
              <w:top w:val="nil"/>
              <w:left w:val="single" w:sz="4" w:space="0" w:color="auto"/>
              <w:bottom w:val="single" w:sz="4" w:space="0" w:color="auto"/>
              <w:right w:val="single" w:sz="4" w:space="0" w:color="auto"/>
            </w:tcBorders>
            <w:shd w:val="clear" w:color="000000" w:fill="FFFFFF"/>
            <w:vAlign w:val="center"/>
            <w:hideMark/>
          </w:tcPr>
          <w:p w:rsidR="001F6631" w:rsidRPr="00C128BC" w:rsidRDefault="001F6631" w:rsidP="001F6631">
            <w:pPr>
              <w:rPr>
                <w:rFonts w:ascii="Arial" w:hAnsi="Arial" w:cs="Arial"/>
                <w:color w:val="000000"/>
                <w:sz w:val="17"/>
                <w:szCs w:val="17"/>
              </w:rPr>
            </w:pPr>
            <w:r w:rsidRPr="00C128BC">
              <w:rPr>
                <w:rFonts w:ascii="Arial" w:hAnsi="Arial" w:cs="Arial"/>
                <w:color w:val="000000"/>
                <w:sz w:val="17"/>
                <w:szCs w:val="17"/>
              </w:rPr>
              <w:t>I</w:t>
            </w:r>
            <w:r w:rsidR="008A5AE2">
              <w:rPr>
                <w:rFonts w:ascii="Arial" w:hAnsi="Arial" w:cs="Arial"/>
                <w:color w:val="000000"/>
                <w:sz w:val="17"/>
                <w:szCs w:val="17"/>
              </w:rPr>
              <w:t>nstituto de Infraestructura Física Educativa del E</w:t>
            </w:r>
            <w:r w:rsidR="008A5AE2" w:rsidRPr="00C128BC">
              <w:rPr>
                <w:rFonts w:ascii="Arial" w:hAnsi="Arial" w:cs="Arial"/>
                <w:color w:val="000000"/>
                <w:sz w:val="17"/>
                <w:szCs w:val="17"/>
              </w:rPr>
              <w:t>stado de Querétaro</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102,050,590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69,733,795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Pr>
                <w:rFonts w:ascii="Arial" w:hAnsi="Arial" w:cs="Arial"/>
                <w:color w:val="000000"/>
                <w:sz w:val="17"/>
                <w:szCs w:val="17"/>
              </w:rPr>
              <w:t xml:space="preserve">Municipio de </w:t>
            </w:r>
            <w:proofErr w:type="spellStart"/>
            <w:r>
              <w:rPr>
                <w:rFonts w:ascii="Arial" w:hAnsi="Arial" w:cs="Arial"/>
                <w:color w:val="000000"/>
                <w:sz w:val="17"/>
                <w:szCs w:val="17"/>
              </w:rPr>
              <w:t>A</w:t>
            </w:r>
            <w:r w:rsidRPr="00C128BC">
              <w:rPr>
                <w:rFonts w:ascii="Arial" w:hAnsi="Arial" w:cs="Arial"/>
                <w:color w:val="000000"/>
                <w:sz w:val="17"/>
                <w:szCs w:val="17"/>
              </w:rPr>
              <w:t>mealco</w:t>
            </w:r>
            <w:proofErr w:type="spellEnd"/>
            <w:r>
              <w:rPr>
                <w:rFonts w:ascii="Arial" w:hAnsi="Arial" w:cs="Arial"/>
                <w:color w:val="000000"/>
                <w:sz w:val="17"/>
                <w:szCs w:val="17"/>
              </w:rPr>
              <w:t xml:space="preserve"> de Bonfil</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17,659,441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17,659,441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Pr>
                <w:rFonts w:ascii="Arial" w:hAnsi="Arial" w:cs="Arial"/>
                <w:color w:val="000000"/>
                <w:sz w:val="17"/>
                <w:szCs w:val="17"/>
              </w:rPr>
              <w:t>Municipio de Arroyo S</w:t>
            </w:r>
            <w:r w:rsidRPr="00C128BC">
              <w:rPr>
                <w:rFonts w:ascii="Arial" w:hAnsi="Arial" w:cs="Arial"/>
                <w:color w:val="000000"/>
                <w:sz w:val="17"/>
                <w:szCs w:val="17"/>
              </w:rPr>
              <w:t>eco</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1,398,553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1,398,553 </w:t>
            </w:r>
          </w:p>
        </w:tc>
      </w:tr>
      <w:tr w:rsidR="001F6631" w:rsidRPr="00C128BC" w:rsidTr="008A5AE2">
        <w:trPr>
          <w:trHeight w:val="219"/>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Cadereyta</w:t>
            </w:r>
            <w:r>
              <w:rPr>
                <w:rFonts w:ascii="Arial" w:hAnsi="Arial" w:cs="Arial"/>
                <w:color w:val="000000"/>
                <w:sz w:val="17"/>
                <w:szCs w:val="17"/>
              </w:rPr>
              <w:t xml:space="preserve"> de Montes</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20,537,124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20,537,124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r>
              <w:rPr>
                <w:rFonts w:ascii="Arial" w:hAnsi="Arial" w:cs="Arial"/>
                <w:color w:val="000000"/>
                <w:sz w:val="17"/>
                <w:szCs w:val="17"/>
              </w:rPr>
              <w:t>Coló</w:t>
            </w:r>
            <w:r w:rsidRPr="00C128BC">
              <w:rPr>
                <w:rFonts w:ascii="Arial" w:hAnsi="Arial" w:cs="Arial"/>
                <w:color w:val="000000"/>
                <w:sz w:val="17"/>
                <w:szCs w:val="17"/>
              </w:rPr>
              <w:t>n</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58,459,861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58,459,861 </w:t>
            </w:r>
          </w:p>
        </w:tc>
      </w:tr>
      <w:tr w:rsidR="001F6631" w:rsidRPr="00C128BC" w:rsidTr="008A5AE2">
        <w:trPr>
          <w:trHeight w:val="199"/>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Corregidora</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41,457,906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41,457,906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r>
              <w:rPr>
                <w:rFonts w:ascii="Arial" w:hAnsi="Arial" w:cs="Arial"/>
                <w:color w:val="000000"/>
                <w:sz w:val="17"/>
                <w:szCs w:val="17"/>
              </w:rPr>
              <w:t>Ezequiel</w:t>
            </w:r>
            <w:r w:rsidRPr="00C128BC">
              <w:rPr>
                <w:rFonts w:ascii="Arial" w:hAnsi="Arial" w:cs="Arial"/>
                <w:color w:val="000000"/>
                <w:sz w:val="17"/>
                <w:szCs w:val="17"/>
              </w:rPr>
              <w:t xml:space="preserve"> Montes</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23,434,749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23,434,749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r>
              <w:rPr>
                <w:rFonts w:ascii="Arial" w:hAnsi="Arial" w:cs="Arial"/>
                <w:color w:val="000000"/>
                <w:sz w:val="17"/>
                <w:szCs w:val="17"/>
              </w:rPr>
              <w:t>el Marqués</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30,400,456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30,400,456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proofErr w:type="spellStart"/>
            <w:r w:rsidRPr="00C128BC">
              <w:rPr>
                <w:rFonts w:ascii="Arial" w:hAnsi="Arial" w:cs="Arial"/>
                <w:color w:val="000000"/>
                <w:sz w:val="17"/>
                <w:szCs w:val="17"/>
              </w:rPr>
              <w:t>Huimilpan</w:t>
            </w:r>
            <w:proofErr w:type="spellEnd"/>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32,926,202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32,926,202 </w:t>
            </w:r>
          </w:p>
        </w:tc>
      </w:tr>
      <w:tr w:rsidR="001F6631" w:rsidRPr="00C128BC" w:rsidTr="008A5AE2">
        <w:trPr>
          <w:trHeight w:val="233"/>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proofErr w:type="spellStart"/>
            <w:r w:rsidRPr="00C128BC">
              <w:rPr>
                <w:rFonts w:ascii="Arial" w:hAnsi="Arial" w:cs="Arial"/>
                <w:color w:val="000000"/>
                <w:sz w:val="17"/>
                <w:szCs w:val="17"/>
              </w:rPr>
              <w:t>Jalpan</w:t>
            </w:r>
            <w:proofErr w:type="spellEnd"/>
            <w:r>
              <w:rPr>
                <w:rFonts w:ascii="Arial" w:hAnsi="Arial" w:cs="Arial"/>
                <w:color w:val="000000"/>
                <w:sz w:val="17"/>
                <w:szCs w:val="17"/>
              </w:rPr>
              <w:t xml:space="preserve"> de Serra</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34,970,361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34,970,361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Landa</w:t>
            </w:r>
            <w:r>
              <w:rPr>
                <w:rFonts w:ascii="Arial" w:hAnsi="Arial" w:cs="Arial"/>
                <w:color w:val="000000"/>
                <w:sz w:val="17"/>
                <w:szCs w:val="17"/>
              </w:rPr>
              <w:t xml:space="preserve"> de Matamoros</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18,319,802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18,319,802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r>
              <w:rPr>
                <w:rFonts w:ascii="Arial" w:hAnsi="Arial" w:cs="Arial"/>
                <w:color w:val="000000"/>
                <w:sz w:val="17"/>
                <w:szCs w:val="17"/>
              </w:rPr>
              <w:t>Pedro</w:t>
            </w:r>
            <w:r w:rsidRPr="00C128BC">
              <w:rPr>
                <w:rFonts w:ascii="Arial" w:hAnsi="Arial" w:cs="Arial"/>
                <w:color w:val="000000"/>
                <w:sz w:val="17"/>
                <w:szCs w:val="17"/>
              </w:rPr>
              <w:t xml:space="preserve"> Escobedo</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84,772,170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84,772,170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proofErr w:type="spellStart"/>
            <w:r w:rsidRPr="00C128BC">
              <w:rPr>
                <w:rFonts w:ascii="Arial" w:hAnsi="Arial" w:cs="Arial"/>
                <w:color w:val="000000"/>
                <w:sz w:val="17"/>
                <w:szCs w:val="17"/>
              </w:rPr>
              <w:t>Peñamiller</w:t>
            </w:r>
            <w:proofErr w:type="spellEnd"/>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16,561,938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15,040,735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Pinal</w:t>
            </w:r>
            <w:r>
              <w:rPr>
                <w:rFonts w:ascii="Arial" w:hAnsi="Arial" w:cs="Arial"/>
                <w:color w:val="000000"/>
                <w:sz w:val="17"/>
                <w:szCs w:val="17"/>
              </w:rPr>
              <w:t xml:space="preserve"> de Amoles</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4,021,836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4,021,836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r>
              <w:rPr>
                <w:rFonts w:ascii="Arial" w:hAnsi="Arial" w:cs="Arial"/>
                <w:color w:val="000000"/>
                <w:sz w:val="17"/>
                <w:szCs w:val="17"/>
              </w:rPr>
              <w:t>San Juan del Río</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20,425,130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20,425,130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r>
              <w:rPr>
                <w:rFonts w:ascii="Arial" w:hAnsi="Arial" w:cs="Arial"/>
                <w:color w:val="000000"/>
                <w:sz w:val="17"/>
                <w:szCs w:val="17"/>
              </w:rPr>
              <w:t>Tequisquiapan</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51,941,387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27,463,881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noWrap/>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 Municipio </w:t>
            </w:r>
            <w:proofErr w:type="spellStart"/>
            <w:r>
              <w:rPr>
                <w:rFonts w:ascii="Arial" w:hAnsi="Arial" w:cs="Arial"/>
                <w:color w:val="000000"/>
                <w:sz w:val="17"/>
                <w:szCs w:val="17"/>
              </w:rPr>
              <w:t>Tolimá</w:t>
            </w:r>
            <w:r w:rsidRPr="00C128BC">
              <w:rPr>
                <w:rFonts w:ascii="Arial" w:hAnsi="Arial" w:cs="Arial"/>
                <w:color w:val="000000"/>
                <w:sz w:val="17"/>
                <w:szCs w:val="17"/>
              </w:rPr>
              <w:t>n</w:t>
            </w:r>
            <w:proofErr w:type="spellEnd"/>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24,059,496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24,059,496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000000" w:fill="FFFFFF"/>
            <w:vAlign w:val="center"/>
            <w:hideMark/>
          </w:tcPr>
          <w:p w:rsidR="001F6631" w:rsidRPr="00C128BC" w:rsidRDefault="008A5AE2" w:rsidP="001F6631">
            <w:pPr>
              <w:rPr>
                <w:rFonts w:ascii="Arial" w:hAnsi="Arial" w:cs="Arial"/>
                <w:color w:val="000000"/>
                <w:sz w:val="17"/>
                <w:szCs w:val="17"/>
              </w:rPr>
            </w:pPr>
            <w:r w:rsidRPr="00C128BC">
              <w:rPr>
                <w:rFonts w:ascii="Arial" w:hAnsi="Arial" w:cs="Arial"/>
                <w:color w:val="000000"/>
                <w:sz w:val="17"/>
                <w:szCs w:val="17"/>
              </w:rPr>
              <w:t xml:space="preserve">Universidad </w:t>
            </w:r>
            <w:r>
              <w:rPr>
                <w:rFonts w:ascii="Arial" w:hAnsi="Arial" w:cs="Arial"/>
                <w:color w:val="000000"/>
                <w:sz w:val="17"/>
                <w:szCs w:val="17"/>
              </w:rPr>
              <w:t>Autónoma d</w:t>
            </w:r>
            <w:r w:rsidRPr="00C128BC">
              <w:rPr>
                <w:rFonts w:ascii="Arial" w:hAnsi="Arial" w:cs="Arial"/>
                <w:color w:val="000000"/>
                <w:sz w:val="17"/>
                <w:szCs w:val="17"/>
              </w:rPr>
              <w:t>e Querétaro</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58,277,339 </w:t>
            </w:r>
          </w:p>
        </w:tc>
        <w:tc>
          <w:tcPr>
            <w:tcW w:w="1566" w:type="dxa"/>
            <w:tcBorders>
              <w:top w:val="nil"/>
              <w:left w:val="nil"/>
              <w:bottom w:val="single" w:sz="4" w:space="0" w:color="auto"/>
              <w:right w:val="single" w:sz="4" w:space="0" w:color="auto"/>
            </w:tcBorders>
            <w:shd w:val="clear" w:color="000000" w:fill="FFFFFF"/>
            <w:noWrap/>
            <w:vAlign w:val="center"/>
            <w:hideMark/>
          </w:tcPr>
          <w:p w:rsidR="001F6631" w:rsidRPr="008A5AE2" w:rsidRDefault="001F6631" w:rsidP="001F6631">
            <w:pPr>
              <w:jc w:val="right"/>
              <w:rPr>
                <w:rFonts w:ascii="Arial" w:hAnsi="Arial" w:cs="Arial"/>
                <w:color w:val="000000"/>
                <w:sz w:val="17"/>
                <w:szCs w:val="17"/>
              </w:rPr>
            </w:pPr>
            <w:r w:rsidRPr="008A5AE2">
              <w:rPr>
                <w:rFonts w:ascii="Arial" w:hAnsi="Arial" w:cs="Arial"/>
                <w:color w:val="000000"/>
                <w:sz w:val="17"/>
                <w:szCs w:val="17"/>
              </w:rPr>
              <w:t xml:space="preserve">47,183,962 </w:t>
            </w:r>
          </w:p>
        </w:tc>
      </w:tr>
      <w:tr w:rsidR="001F6631" w:rsidRPr="00C128BC" w:rsidTr="008A5AE2">
        <w:trPr>
          <w:trHeight w:val="221"/>
        </w:trPr>
        <w:tc>
          <w:tcPr>
            <w:tcW w:w="554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F6631" w:rsidRPr="00C128BC" w:rsidRDefault="008A5AE2" w:rsidP="008A5AE2">
            <w:pPr>
              <w:jc w:val="center"/>
              <w:rPr>
                <w:rFonts w:ascii="Arial" w:hAnsi="Arial" w:cs="Arial"/>
                <w:b/>
                <w:bCs/>
                <w:color w:val="000000"/>
                <w:sz w:val="17"/>
                <w:szCs w:val="17"/>
              </w:rPr>
            </w:pPr>
            <w:r w:rsidRPr="00C128BC">
              <w:rPr>
                <w:rFonts w:ascii="Arial" w:hAnsi="Arial" w:cs="Arial"/>
                <w:b/>
                <w:bCs/>
                <w:color w:val="000000"/>
                <w:sz w:val="17"/>
                <w:szCs w:val="17"/>
              </w:rPr>
              <w:t>Total</w:t>
            </w:r>
          </w:p>
        </w:tc>
        <w:tc>
          <w:tcPr>
            <w:tcW w:w="1566" w:type="dxa"/>
            <w:tcBorders>
              <w:top w:val="nil"/>
              <w:left w:val="nil"/>
              <w:bottom w:val="single" w:sz="4" w:space="0" w:color="auto"/>
              <w:right w:val="single" w:sz="4" w:space="0" w:color="auto"/>
            </w:tcBorders>
            <w:shd w:val="clear" w:color="auto" w:fill="BFBFBF" w:themeFill="background1" w:themeFillShade="BF"/>
            <w:noWrap/>
            <w:vAlign w:val="center"/>
            <w:hideMark/>
          </w:tcPr>
          <w:p w:rsidR="001F6631" w:rsidRPr="00C128BC" w:rsidRDefault="001F6631" w:rsidP="001F6631">
            <w:pPr>
              <w:jc w:val="right"/>
              <w:rPr>
                <w:rFonts w:ascii="Arial" w:hAnsi="Arial" w:cs="Arial"/>
                <w:b/>
                <w:bCs/>
                <w:color w:val="000000"/>
                <w:sz w:val="17"/>
                <w:szCs w:val="17"/>
              </w:rPr>
            </w:pPr>
            <w:r w:rsidRPr="00C128BC">
              <w:rPr>
                <w:rFonts w:ascii="Arial" w:hAnsi="Arial" w:cs="Arial"/>
                <w:b/>
                <w:bCs/>
                <w:color w:val="000000"/>
                <w:sz w:val="17"/>
                <w:szCs w:val="17"/>
              </w:rPr>
              <w:t xml:space="preserve">2,404,154,571 </w:t>
            </w:r>
          </w:p>
        </w:tc>
        <w:tc>
          <w:tcPr>
            <w:tcW w:w="1566" w:type="dxa"/>
            <w:tcBorders>
              <w:top w:val="nil"/>
              <w:left w:val="nil"/>
              <w:bottom w:val="single" w:sz="4" w:space="0" w:color="auto"/>
              <w:right w:val="single" w:sz="4" w:space="0" w:color="auto"/>
            </w:tcBorders>
            <w:shd w:val="clear" w:color="auto" w:fill="BFBFBF" w:themeFill="background1" w:themeFillShade="BF"/>
            <w:noWrap/>
            <w:vAlign w:val="center"/>
            <w:hideMark/>
          </w:tcPr>
          <w:p w:rsidR="001F6631" w:rsidRPr="00C128BC" w:rsidRDefault="001F6631" w:rsidP="001F6631">
            <w:pPr>
              <w:jc w:val="right"/>
              <w:rPr>
                <w:rFonts w:ascii="Arial" w:hAnsi="Arial" w:cs="Arial"/>
                <w:b/>
                <w:bCs/>
                <w:color w:val="000000"/>
                <w:sz w:val="17"/>
                <w:szCs w:val="17"/>
              </w:rPr>
            </w:pPr>
            <w:r w:rsidRPr="00C128BC">
              <w:rPr>
                <w:rFonts w:ascii="Arial" w:hAnsi="Arial" w:cs="Arial"/>
                <w:b/>
                <w:bCs/>
                <w:color w:val="000000"/>
                <w:sz w:val="17"/>
                <w:szCs w:val="17"/>
              </w:rPr>
              <w:t xml:space="preserve">1,948,660,499 </w:t>
            </w:r>
          </w:p>
        </w:tc>
      </w:tr>
    </w:tbl>
    <w:p w:rsidR="00677322" w:rsidRPr="00677322" w:rsidRDefault="00677322" w:rsidP="00D43B88">
      <w:pPr>
        <w:spacing w:before="80" w:line="250" w:lineRule="exact"/>
        <w:ind w:left="705"/>
        <w:jc w:val="both"/>
        <w:rPr>
          <w:rFonts w:ascii="Arial" w:eastAsia="Calibri" w:hAnsi="Arial" w:cs="Arial"/>
          <w:spacing w:val="-1"/>
          <w:sz w:val="17"/>
          <w:szCs w:val="17"/>
          <w:highlight w:val="yellow"/>
        </w:rPr>
      </w:pPr>
    </w:p>
    <w:p w:rsidR="001F6631" w:rsidRDefault="001F6631" w:rsidP="000C5793">
      <w:pPr>
        <w:spacing w:before="80" w:line="250" w:lineRule="exact"/>
        <w:ind w:left="851"/>
        <w:jc w:val="both"/>
        <w:rPr>
          <w:rFonts w:ascii="Arial" w:eastAsia="Calibri" w:hAnsi="Arial" w:cs="Arial"/>
          <w:spacing w:val="-1"/>
          <w:sz w:val="17"/>
          <w:szCs w:val="17"/>
        </w:rPr>
      </w:pPr>
    </w:p>
    <w:p w:rsidR="001F6631" w:rsidRDefault="001F6631" w:rsidP="000C5793">
      <w:pPr>
        <w:spacing w:before="80" w:line="250" w:lineRule="exact"/>
        <w:ind w:left="851"/>
        <w:jc w:val="both"/>
        <w:rPr>
          <w:rFonts w:ascii="Arial" w:eastAsia="Calibri" w:hAnsi="Arial" w:cs="Arial"/>
          <w:spacing w:val="-1"/>
          <w:sz w:val="17"/>
          <w:szCs w:val="17"/>
        </w:rPr>
      </w:pPr>
    </w:p>
    <w:p w:rsidR="001F6631" w:rsidRDefault="001F6631" w:rsidP="000C5793">
      <w:pPr>
        <w:spacing w:before="80" w:line="250" w:lineRule="exact"/>
        <w:ind w:left="851"/>
        <w:jc w:val="both"/>
        <w:rPr>
          <w:rFonts w:ascii="Arial" w:eastAsia="Calibri" w:hAnsi="Arial" w:cs="Arial"/>
          <w:spacing w:val="-1"/>
          <w:sz w:val="17"/>
          <w:szCs w:val="17"/>
        </w:rPr>
      </w:pPr>
    </w:p>
    <w:p w:rsidR="001F6631" w:rsidRDefault="001F6631" w:rsidP="000C5793">
      <w:pPr>
        <w:spacing w:before="80" w:line="250" w:lineRule="exact"/>
        <w:ind w:left="851"/>
        <w:jc w:val="both"/>
        <w:rPr>
          <w:rFonts w:ascii="Arial" w:eastAsia="Calibri" w:hAnsi="Arial" w:cs="Arial"/>
          <w:spacing w:val="-1"/>
          <w:sz w:val="17"/>
          <w:szCs w:val="17"/>
        </w:rPr>
      </w:pPr>
    </w:p>
    <w:p w:rsidR="00877AB5" w:rsidRPr="00495C50" w:rsidRDefault="00877AB5" w:rsidP="00D43B88">
      <w:pPr>
        <w:spacing w:before="80" w:line="250" w:lineRule="exact"/>
        <w:ind w:left="705"/>
        <w:jc w:val="both"/>
        <w:rPr>
          <w:rFonts w:ascii="Arial" w:eastAsia="Calibri" w:hAnsi="Arial" w:cs="Arial"/>
          <w:spacing w:val="-1"/>
          <w:sz w:val="17"/>
          <w:szCs w:val="17"/>
        </w:rPr>
      </w:pPr>
    </w:p>
    <w:p w:rsidR="002913EF" w:rsidRDefault="002913EF"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1F6631" w:rsidRDefault="001F6631" w:rsidP="00CD33E9">
      <w:pPr>
        <w:spacing w:before="80" w:line="250" w:lineRule="exact"/>
        <w:jc w:val="both"/>
        <w:rPr>
          <w:rFonts w:ascii="Arial" w:eastAsia="Calibri" w:hAnsi="Arial" w:cs="Arial"/>
          <w:b/>
          <w:spacing w:val="-1"/>
          <w:sz w:val="17"/>
          <w:szCs w:val="17"/>
        </w:rPr>
      </w:pPr>
    </w:p>
    <w:p w:rsidR="003B56F9" w:rsidRPr="00C128BC" w:rsidRDefault="003B56F9" w:rsidP="008A5AE2">
      <w:pPr>
        <w:spacing w:before="80" w:line="250" w:lineRule="exact"/>
        <w:ind w:right="-1559" w:firstLine="708"/>
        <w:jc w:val="both"/>
        <w:rPr>
          <w:rFonts w:ascii="Arial" w:eastAsia="Calibri" w:hAnsi="Arial" w:cs="Arial"/>
          <w:b/>
          <w:spacing w:val="-1"/>
          <w:sz w:val="17"/>
          <w:szCs w:val="17"/>
        </w:rPr>
      </w:pPr>
      <w:r w:rsidRPr="00C128BC">
        <w:rPr>
          <w:rFonts w:ascii="Arial" w:eastAsia="Calibri" w:hAnsi="Arial" w:cs="Arial"/>
          <w:b/>
          <w:spacing w:val="-1"/>
          <w:sz w:val="17"/>
          <w:szCs w:val="17"/>
        </w:rPr>
        <w:t>Siendo un total de inversión</w:t>
      </w:r>
      <w:r w:rsidR="00DA6BF8" w:rsidRPr="00C128BC">
        <w:rPr>
          <w:rFonts w:ascii="Arial" w:eastAsia="Calibri" w:hAnsi="Arial" w:cs="Arial"/>
          <w:b/>
          <w:spacing w:val="-1"/>
          <w:sz w:val="17"/>
          <w:szCs w:val="17"/>
        </w:rPr>
        <w:t xml:space="preserve"> pública</w:t>
      </w:r>
      <w:r w:rsidRPr="00C128BC">
        <w:rPr>
          <w:rFonts w:ascii="Arial" w:eastAsia="Calibri" w:hAnsi="Arial" w:cs="Arial"/>
          <w:b/>
          <w:spacing w:val="-1"/>
          <w:sz w:val="17"/>
          <w:szCs w:val="17"/>
        </w:rPr>
        <w:t xml:space="preserve"> total</w:t>
      </w:r>
      <w:r w:rsidR="00DA6BF8" w:rsidRPr="00C128BC">
        <w:rPr>
          <w:rFonts w:ascii="Arial" w:eastAsia="Calibri" w:hAnsi="Arial" w:cs="Arial"/>
          <w:b/>
          <w:spacing w:val="-1"/>
          <w:sz w:val="17"/>
          <w:szCs w:val="17"/>
        </w:rPr>
        <w:t xml:space="preserve"> ejecutada</w:t>
      </w:r>
      <w:r w:rsidRPr="00C128BC">
        <w:rPr>
          <w:rFonts w:ascii="Arial" w:eastAsia="Calibri" w:hAnsi="Arial" w:cs="Arial"/>
          <w:b/>
          <w:spacing w:val="-1"/>
          <w:sz w:val="17"/>
          <w:szCs w:val="17"/>
        </w:rPr>
        <w:t xml:space="preserve"> y pagada</w:t>
      </w:r>
      <w:r w:rsidR="00443402" w:rsidRPr="00C128BC">
        <w:rPr>
          <w:rFonts w:ascii="Arial" w:eastAsia="Calibri" w:hAnsi="Arial" w:cs="Arial"/>
          <w:b/>
          <w:spacing w:val="-1"/>
          <w:sz w:val="17"/>
          <w:szCs w:val="17"/>
        </w:rPr>
        <w:t xml:space="preserve"> </w:t>
      </w:r>
      <w:r w:rsidRPr="00C128BC">
        <w:rPr>
          <w:rFonts w:ascii="Arial" w:eastAsia="Calibri" w:hAnsi="Arial" w:cs="Arial"/>
          <w:b/>
          <w:spacing w:val="-1"/>
          <w:sz w:val="17"/>
          <w:szCs w:val="17"/>
        </w:rPr>
        <w:t xml:space="preserve">por el </w:t>
      </w:r>
      <w:r w:rsidR="00DA6BF8" w:rsidRPr="00C128BC">
        <w:rPr>
          <w:rFonts w:ascii="Arial" w:eastAsia="Calibri" w:hAnsi="Arial" w:cs="Arial"/>
          <w:b/>
          <w:spacing w:val="-1"/>
          <w:sz w:val="17"/>
          <w:szCs w:val="17"/>
        </w:rPr>
        <w:t>Poder Ej</w:t>
      </w:r>
      <w:r w:rsidRPr="00C128BC">
        <w:rPr>
          <w:rFonts w:ascii="Arial" w:eastAsia="Calibri" w:hAnsi="Arial" w:cs="Arial"/>
          <w:b/>
          <w:spacing w:val="-1"/>
          <w:sz w:val="17"/>
          <w:szCs w:val="17"/>
        </w:rPr>
        <w:t xml:space="preserve">ecutivo del Estado de Querétaro de </w:t>
      </w:r>
      <w:r w:rsidR="008A5AE2">
        <w:rPr>
          <w:rFonts w:ascii="Arial" w:eastAsia="Calibri" w:hAnsi="Arial" w:cs="Arial"/>
          <w:b/>
          <w:spacing w:val="-1"/>
          <w:sz w:val="17"/>
          <w:szCs w:val="17"/>
        </w:rPr>
        <w:t>2,</w:t>
      </w:r>
      <w:r w:rsidRPr="00C128BC">
        <w:rPr>
          <w:rFonts w:ascii="Arial" w:eastAsia="Calibri" w:hAnsi="Arial" w:cs="Arial"/>
          <w:b/>
          <w:spacing w:val="-1"/>
          <w:sz w:val="17"/>
          <w:szCs w:val="17"/>
        </w:rPr>
        <w:t>321</w:t>
      </w:r>
      <w:r w:rsidR="008A5AE2">
        <w:rPr>
          <w:rFonts w:ascii="Arial" w:eastAsia="Calibri" w:hAnsi="Arial" w:cs="Arial"/>
          <w:b/>
          <w:spacing w:val="-1"/>
          <w:sz w:val="17"/>
          <w:szCs w:val="17"/>
        </w:rPr>
        <w:t>,</w:t>
      </w:r>
      <w:r w:rsidR="007A7397" w:rsidRPr="00C128BC">
        <w:rPr>
          <w:rFonts w:ascii="Arial" w:eastAsia="Calibri" w:hAnsi="Arial" w:cs="Arial"/>
          <w:b/>
          <w:spacing w:val="-1"/>
          <w:sz w:val="17"/>
          <w:szCs w:val="17"/>
        </w:rPr>
        <w:t>995,494</w:t>
      </w:r>
      <w:r w:rsidRPr="00C128BC">
        <w:rPr>
          <w:rFonts w:ascii="Arial" w:eastAsia="Calibri" w:hAnsi="Arial" w:cs="Arial"/>
          <w:b/>
          <w:spacing w:val="-1"/>
          <w:sz w:val="17"/>
          <w:szCs w:val="17"/>
        </w:rPr>
        <w:t>.</w:t>
      </w:r>
    </w:p>
    <w:p w:rsidR="003B56F9" w:rsidRDefault="003B56F9" w:rsidP="00443402">
      <w:pPr>
        <w:spacing w:before="80" w:line="250" w:lineRule="exact"/>
        <w:jc w:val="both"/>
        <w:rPr>
          <w:rFonts w:ascii="Arial" w:eastAsia="Calibri" w:hAnsi="Arial" w:cs="Arial"/>
          <w:b/>
          <w:spacing w:val="-1"/>
          <w:sz w:val="17"/>
          <w:szCs w:val="17"/>
          <w:highlight w:val="yellow"/>
        </w:rPr>
      </w:pPr>
    </w:p>
    <w:p w:rsidR="008A5AE2" w:rsidRDefault="008A5AE2" w:rsidP="00443402">
      <w:pPr>
        <w:spacing w:before="80" w:line="250" w:lineRule="exact"/>
        <w:jc w:val="both"/>
        <w:rPr>
          <w:rFonts w:ascii="Arial" w:eastAsia="Calibri" w:hAnsi="Arial" w:cs="Arial"/>
          <w:b/>
          <w:spacing w:val="-1"/>
          <w:sz w:val="17"/>
          <w:szCs w:val="17"/>
          <w:highlight w:val="yellow"/>
        </w:rPr>
      </w:pPr>
    </w:p>
    <w:p w:rsidR="00F71E5C" w:rsidRPr="0068274A" w:rsidRDefault="00F71E5C" w:rsidP="0068274A">
      <w:pPr>
        <w:pStyle w:val="Prrafodelista"/>
        <w:numPr>
          <w:ilvl w:val="0"/>
          <w:numId w:val="40"/>
        </w:numPr>
        <w:spacing w:before="80" w:line="250" w:lineRule="exact"/>
        <w:ind w:left="851" w:firstLine="0"/>
        <w:jc w:val="both"/>
        <w:rPr>
          <w:rFonts w:ascii="Arial" w:eastAsia="Calibri" w:hAnsi="Arial" w:cs="Arial"/>
          <w:b/>
          <w:spacing w:val="-1"/>
          <w:sz w:val="17"/>
          <w:szCs w:val="17"/>
        </w:rPr>
      </w:pPr>
      <w:r w:rsidRPr="0068274A">
        <w:rPr>
          <w:rFonts w:ascii="Arial" w:eastAsia="Calibri" w:hAnsi="Arial" w:cs="Arial"/>
          <w:b/>
          <w:spacing w:val="-1"/>
          <w:sz w:val="17"/>
          <w:szCs w:val="17"/>
        </w:rPr>
        <w:lastRenderedPageBreak/>
        <w:t>Otros Gastos y Pérdidas Extraordinarias</w:t>
      </w:r>
    </w:p>
    <w:p w:rsidR="00F71E5C" w:rsidRPr="00BA272D" w:rsidRDefault="00F71E5C" w:rsidP="00C128BC">
      <w:pPr>
        <w:spacing w:before="80" w:line="250" w:lineRule="exact"/>
        <w:ind w:left="851"/>
        <w:jc w:val="both"/>
        <w:rPr>
          <w:rFonts w:ascii="Arial" w:eastAsia="Calibri" w:hAnsi="Arial" w:cs="Arial"/>
          <w:spacing w:val="-1"/>
          <w:sz w:val="17"/>
          <w:szCs w:val="17"/>
        </w:rPr>
      </w:pPr>
    </w:p>
    <w:p w:rsidR="00F71E5C" w:rsidRPr="00BA272D" w:rsidRDefault="00F71E5C" w:rsidP="00C128BC">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Se informa el monto de la cuenta Otros Gastos y Pérdidas Extraordinarias por</w:t>
      </w:r>
      <w:r w:rsidRPr="00BA272D">
        <w:rPr>
          <w:rFonts w:ascii="Arial" w:hAnsi="Arial" w:cs="Arial"/>
          <w:sz w:val="17"/>
          <w:szCs w:val="17"/>
        </w:rPr>
        <w:t xml:space="preserve"> </w:t>
      </w:r>
      <w:r w:rsidR="00EB38C4">
        <w:rPr>
          <w:rFonts w:ascii="Arial" w:hAnsi="Arial" w:cs="Arial"/>
          <w:sz w:val="17"/>
          <w:szCs w:val="17"/>
        </w:rPr>
        <w:t>824</w:t>
      </w:r>
      <w:r w:rsidR="008A5AE2">
        <w:rPr>
          <w:rFonts w:ascii="Arial" w:hAnsi="Arial" w:cs="Arial"/>
          <w:sz w:val="17"/>
          <w:szCs w:val="17"/>
        </w:rPr>
        <w:t>,</w:t>
      </w:r>
      <w:r w:rsidR="00D23F86">
        <w:rPr>
          <w:rFonts w:ascii="Arial" w:hAnsi="Arial" w:cs="Arial"/>
          <w:sz w:val="17"/>
          <w:szCs w:val="17"/>
        </w:rPr>
        <w:t>726,335</w:t>
      </w:r>
      <w:r w:rsidRPr="00BA272D">
        <w:rPr>
          <w:rFonts w:ascii="Arial" w:hAnsi="Arial" w:cs="Arial"/>
          <w:sz w:val="17"/>
          <w:szCs w:val="17"/>
        </w:rPr>
        <w:t xml:space="preserve"> </w:t>
      </w:r>
      <w:r w:rsidRPr="00BA272D">
        <w:rPr>
          <w:rFonts w:ascii="Arial" w:eastAsia="Calibri" w:hAnsi="Arial" w:cs="Arial"/>
          <w:spacing w:val="-1"/>
          <w:sz w:val="17"/>
          <w:szCs w:val="17"/>
        </w:rPr>
        <w:t xml:space="preserve">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C128BC">
      <w:pPr>
        <w:autoSpaceDE w:val="0"/>
        <w:autoSpaceDN w:val="0"/>
        <w:adjustRightInd w:val="0"/>
        <w:spacing w:before="240"/>
        <w:ind w:left="851"/>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6540" w:type="dxa"/>
        <w:tblInd w:w="2966" w:type="dxa"/>
        <w:tblCellMar>
          <w:left w:w="70" w:type="dxa"/>
          <w:right w:w="70" w:type="dxa"/>
        </w:tblCellMar>
        <w:tblLook w:val="04A0" w:firstRow="1" w:lastRow="0" w:firstColumn="1" w:lastColumn="0" w:noHBand="0" w:noVBand="1"/>
      </w:tblPr>
      <w:tblGrid>
        <w:gridCol w:w="5100"/>
        <w:gridCol w:w="1440"/>
      </w:tblGrid>
      <w:tr w:rsidR="004F1671" w:rsidRPr="004F1671" w:rsidTr="004F1671">
        <w:trPr>
          <w:trHeight w:val="300"/>
        </w:trPr>
        <w:tc>
          <w:tcPr>
            <w:tcW w:w="5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F1671" w:rsidRPr="004F1671" w:rsidRDefault="004F1671" w:rsidP="004F1671">
            <w:pPr>
              <w:jc w:val="center"/>
              <w:rPr>
                <w:rFonts w:ascii="Arial" w:hAnsi="Arial" w:cs="Arial"/>
                <w:b/>
                <w:bCs/>
                <w:color w:val="000000"/>
                <w:sz w:val="17"/>
                <w:szCs w:val="17"/>
              </w:rPr>
            </w:pPr>
            <w:r w:rsidRPr="004F1671">
              <w:rPr>
                <w:rFonts w:ascii="Arial" w:hAnsi="Arial" w:cs="Arial"/>
                <w:b/>
                <w:bCs/>
                <w:color w:val="000000"/>
                <w:sz w:val="17"/>
                <w:szCs w:val="17"/>
              </w:rPr>
              <w:t>Cuenta</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4F1671" w:rsidRPr="004F1671" w:rsidRDefault="004F1671" w:rsidP="004F1671">
            <w:pPr>
              <w:jc w:val="center"/>
              <w:rPr>
                <w:rFonts w:ascii="Arial" w:hAnsi="Arial" w:cs="Arial"/>
                <w:b/>
                <w:bCs/>
                <w:color w:val="000000"/>
                <w:sz w:val="17"/>
                <w:szCs w:val="17"/>
              </w:rPr>
            </w:pPr>
            <w:r w:rsidRPr="004F1671">
              <w:rPr>
                <w:rFonts w:ascii="Arial" w:hAnsi="Arial" w:cs="Arial"/>
                <w:b/>
                <w:bCs/>
                <w:color w:val="000000"/>
                <w:sz w:val="17"/>
                <w:szCs w:val="17"/>
              </w:rPr>
              <w:t>Monto</w:t>
            </w:r>
          </w:p>
        </w:tc>
      </w:tr>
      <w:tr w:rsidR="004F1671" w:rsidRPr="004F1671" w:rsidTr="004F1671">
        <w:trPr>
          <w:trHeight w:val="45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F1671" w:rsidRPr="004F1671" w:rsidRDefault="004F1671" w:rsidP="004F1671">
            <w:pPr>
              <w:rPr>
                <w:rFonts w:ascii="Arial" w:hAnsi="Arial" w:cs="Arial"/>
                <w:color w:val="000000"/>
                <w:sz w:val="17"/>
                <w:szCs w:val="17"/>
              </w:rPr>
            </w:pPr>
            <w:r w:rsidRPr="004F1671">
              <w:rPr>
                <w:rFonts w:ascii="Arial" w:hAnsi="Arial" w:cs="Arial"/>
                <w:color w:val="000000"/>
                <w:sz w:val="17"/>
                <w:szCs w:val="17"/>
              </w:rPr>
              <w:t>Estimaciones, Depreciaciones, Deterioros, Obsolescencia y Amortizaciones</w:t>
            </w:r>
          </w:p>
        </w:tc>
        <w:tc>
          <w:tcPr>
            <w:tcW w:w="1440" w:type="dxa"/>
            <w:tcBorders>
              <w:top w:val="nil"/>
              <w:left w:val="nil"/>
              <w:bottom w:val="single" w:sz="4" w:space="0" w:color="auto"/>
              <w:right w:val="single" w:sz="4" w:space="0" w:color="auto"/>
            </w:tcBorders>
            <w:shd w:val="clear" w:color="auto" w:fill="auto"/>
            <w:vAlign w:val="center"/>
            <w:hideMark/>
          </w:tcPr>
          <w:p w:rsidR="004F1671" w:rsidRPr="004F1671" w:rsidRDefault="004F1671" w:rsidP="004F1671">
            <w:pPr>
              <w:jc w:val="right"/>
              <w:rPr>
                <w:rFonts w:ascii="Arial" w:hAnsi="Arial" w:cs="Arial"/>
                <w:color w:val="000000"/>
                <w:sz w:val="17"/>
                <w:szCs w:val="17"/>
              </w:rPr>
            </w:pPr>
            <w:r w:rsidRPr="004F1671">
              <w:rPr>
                <w:rFonts w:ascii="Arial" w:hAnsi="Arial" w:cs="Arial"/>
                <w:color w:val="000000"/>
                <w:sz w:val="17"/>
                <w:szCs w:val="17"/>
              </w:rPr>
              <w:t>263,986,242</w:t>
            </w:r>
          </w:p>
        </w:tc>
      </w:tr>
      <w:tr w:rsidR="004F1671" w:rsidRPr="004F1671" w:rsidTr="004F1671">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F1671" w:rsidRPr="004F1671" w:rsidRDefault="004F1671" w:rsidP="004F1671">
            <w:pPr>
              <w:rPr>
                <w:rFonts w:ascii="Arial" w:hAnsi="Arial" w:cs="Arial"/>
                <w:color w:val="000000"/>
                <w:sz w:val="17"/>
                <w:szCs w:val="17"/>
              </w:rPr>
            </w:pPr>
            <w:r w:rsidRPr="004F1671">
              <w:rPr>
                <w:rFonts w:ascii="Arial" w:hAnsi="Arial" w:cs="Arial"/>
                <w:color w:val="000000"/>
                <w:sz w:val="17"/>
                <w:szCs w:val="17"/>
              </w:rPr>
              <w:t>Otros Gastos</w:t>
            </w:r>
          </w:p>
        </w:tc>
        <w:tc>
          <w:tcPr>
            <w:tcW w:w="1440" w:type="dxa"/>
            <w:tcBorders>
              <w:top w:val="nil"/>
              <w:left w:val="nil"/>
              <w:bottom w:val="single" w:sz="4" w:space="0" w:color="auto"/>
              <w:right w:val="single" w:sz="4" w:space="0" w:color="auto"/>
            </w:tcBorders>
            <w:shd w:val="clear" w:color="auto" w:fill="auto"/>
            <w:vAlign w:val="center"/>
            <w:hideMark/>
          </w:tcPr>
          <w:p w:rsidR="004F1671" w:rsidRPr="004F1671" w:rsidRDefault="004F1671" w:rsidP="004F1671">
            <w:pPr>
              <w:jc w:val="right"/>
              <w:rPr>
                <w:rFonts w:ascii="Arial" w:hAnsi="Arial" w:cs="Arial"/>
                <w:color w:val="000000"/>
                <w:sz w:val="17"/>
                <w:szCs w:val="17"/>
              </w:rPr>
            </w:pPr>
            <w:r w:rsidRPr="004F1671">
              <w:rPr>
                <w:rFonts w:ascii="Arial" w:hAnsi="Arial" w:cs="Arial"/>
                <w:color w:val="000000"/>
                <w:sz w:val="17"/>
                <w:szCs w:val="17"/>
              </w:rPr>
              <w:t>461,917,442</w:t>
            </w:r>
          </w:p>
        </w:tc>
      </w:tr>
      <w:tr w:rsidR="004F1671" w:rsidRPr="004F1671" w:rsidTr="004F1671">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F1671" w:rsidRPr="004F1671" w:rsidRDefault="004F1671" w:rsidP="004F1671">
            <w:pPr>
              <w:rPr>
                <w:rFonts w:ascii="Arial" w:hAnsi="Arial" w:cs="Arial"/>
                <w:color w:val="000000"/>
                <w:sz w:val="17"/>
                <w:szCs w:val="17"/>
              </w:rPr>
            </w:pPr>
            <w:r w:rsidRPr="004F1671">
              <w:rPr>
                <w:rFonts w:ascii="Arial" w:hAnsi="Arial" w:cs="Arial"/>
                <w:color w:val="000000"/>
                <w:sz w:val="17"/>
                <w:szCs w:val="17"/>
              </w:rPr>
              <w:t>Otros Gastos Varios</w:t>
            </w:r>
          </w:p>
        </w:tc>
        <w:tc>
          <w:tcPr>
            <w:tcW w:w="1440" w:type="dxa"/>
            <w:tcBorders>
              <w:top w:val="nil"/>
              <w:left w:val="nil"/>
              <w:bottom w:val="single" w:sz="4" w:space="0" w:color="auto"/>
              <w:right w:val="single" w:sz="4" w:space="0" w:color="auto"/>
            </w:tcBorders>
            <w:shd w:val="clear" w:color="auto" w:fill="auto"/>
            <w:vAlign w:val="center"/>
            <w:hideMark/>
          </w:tcPr>
          <w:p w:rsidR="004F1671" w:rsidRPr="004F1671" w:rsidRDefault="004F1671" w:rsidP="004F1671">
            <w:pPr>
              <w:jc w:val="right"/>
              <w:rPr>
                <w:rFonts w:ascii="Arial" w:hAnsi="Arial" w:cs="Arial"/>
                <w:color w:val="000000"/>
                <w:sz w:val="17"/>
                <w:szCs w:val="17"/>
              </w:rPr>
            </w:pPr>
            <w:r w:rsidRPr="004F1671">
              <w:rPr>
                <w:rFonts w:ascii="Arial" w:hAnsi="Arial" w:cs="Arial"/>
                <w:color w:val="000000"/>
                <w:sz w:val="17"/>
                <w:szCs w:val="17"/>
              </w:rPr>
              <w:t>98,822,650</w:t>
            </w:r>
          </w:p>
        </w:tc>
      </w:tr>
      <w:tr w:rsidR="004F1671" w:rsidRPr="004F1671" w:rsidTr="004F1671">
        <w:trPr>
          <w:trHeight w:val="300"/>
        </w:trPr>
        <w:tc>
          <w:tcPr>
            <w:tcW w:w="5100" w:type="dxa"/>
            <w:tcBorders>
              <w:top w:val="nil"/>
              <w:left w:val="single" w:sz="4" w:space="0" w:color="auto"/>
              <w:bottom w:val="single" w:sz="4" w:space="0" w:color="auto"/>
              <w:right w:val="single" w:sz="4" w:space="0" w:color="auto"/>
            </w:tcBorders>
            <w:shd w:val="clear" w:color="000000" w:fill="BFBFBF"/>
            <w:vAlign w:val="center"/>
            <w:hideMark/>
          </w:tcPr>
          <w:p w:rsidR="004F1671" w:rsidRPr="004F1671" w:rsidRDefault="004F1671" w:rsidP="004F1671">
            <w:pPr>
              <w:jc w:val="center"/>
              <w:rPr>
                <w:rFonts w:ascii="Arial" w:hAnsi="Arial" w:cs="Arial"/>
                <w:b/>
                <w:bCs/>
                <w:color w:val="000000"/>
                <w:sz w:val="17"/>
                <w:szCs w:val="17"/>
              </w:rPr>
            </w:pPr>
            <w:r w:rsidRPr="004F1671">
              <w:rPr>
                <w:rFonts w:ascii="Arial" w:hAnsi="Arial" w:cs="Arial"/>
                <w:b/>
                <w:bCs/>
                <w:color w:val="000000"/>
                <w:sz w:val="17"/>
                <w:szCs w:val="17"/>
              </w:rPr>
              <w:t>Otros Gastos y Pérdidas Extraordinarias</w:t>
            </w:r>
          </w:p>
        </w:tc>
        <w:tc>
          <w:tcPr>
            <w:tcW w:w="1440" w:type="dxa"/>
            <w:tcBorders>
              <w:top w:val="nil"/>
              <w:left w:val="nil"/>
              <w:bottom w:val="single" w:sz="4" w:space="0" w:color="auto"/>
              <w:right w:val="single" w:sz="4" w:space="0" w:color="auto"/>
            </w:tcBorders>
            <w:shd w:val="clear" w:color="000000" w:fill="BFBFBF"/>
            <w:vAlign w:val="center"/>
            <w:hideMark/>
          </w:tcPr>
          <w:p w:rsidR="004F1671" w:rsidRPr="004F1671" w:rsidRDefault="004F1671" w:rsidP="004F1671">
            <w:pPr>
              <w:jc w:val="right"/>
              <w:rPr>
                <w:rFonts w:ascii="Arial" w:hAnsi="Arial" w:cs="Arial"/>
                <w:b/>
                <w:bCs/>
                <w:color w:val="000000"/>
                <w:sz w:val="17"/>
                <w:szCs w:val="17"/>
              </w:rPr>
            </w:pPr>
            <w:r w:rsidRPr="004F1671">
              <w:rPr>
                <w:rFonts w:ascii="Arial" w:hAnsi="Arial" w:cs="Arial"/>
                <w:b/>
                <w:bCs/>
                <w:color w:val="000000"/>
                <w:sz w:val="17"/>
                <w:szCs w:val="17"/>
              </w:rPr>
              <w:t>824,726,335</w:t>
            </w:r>
          </w:p>
        </w:tc>
      </w:tr>
    </w:tbl>
    <w:p w:rsidR="00F71E5C" w:rsidRPr="00BA272D" w:rsidRDefault="00F71E5C" w:rsidP="00F71E5C">
      <w:pPr>
        <w:rPr>
          <w:rFonts w:ascii="Arial" w:eastAsia="Calibri" w:hAnsi="Arial" w:cs="Arial"/>
          <w:spacing w:val="-1"/>
          <w:sz w:val="17"/>
          <w:szCs w:val="17"/>
        </w:rPr>
      </w:pPr>
    </w:p>
    <w:p w:rsidR="00F71E5C" w:rsidRDefault="00F71E5C"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Default="008A5AE2" w:rsidP="00F71E5C">
      <w:pPr>
        <w:rPr>
          <w:rFonts w:ascii="Arial" w:eastAsia="Calibri" w:hAnsi="Arial" w:cs="Arial"/>
          <w:spacing w:val="-1"/>
          <w:sz w:val="17"/>
          <w:szCs w:val="17"/>
        </w:rPr>
      </w:pPr>
    </w:p>
    <w:p w:rsidR="008A5AE2" w:rsidRPr="00BA272D" w:rsidRDefault="008A5AE2" w:rsidP="00F71E5C">
      <w:pPr>
        <w:rPr>
          <w:rFonts w:ascii="Arial" w:eastAsia="Calibri" w:hAnsi="Arial" w:cs="Arial"/>
          <w:spacing w:val="-1"/>
          <w:sz w:val="17"/>
          <w:szCs w:val="17"/>
        </w:rPr>
      </w:pPr>
    </w:p>
    <w:p w:rsidR="00F71E5C" w:rsidRPr="00BA272D" w:rsidRDefault="00F71E5C" w:rsidP="006528E1">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lastRenderedPageBreak/>
        <w:t>Notas al Estado de Variación en la Hacienda Pública</w:t>
      </w:r>
    </w:p>
    <w:p w:rsidR="00F71E5C" w:rsidRPr="00BA272D" w:rsidRDefault="00F71E5C" w:rsidP="006528E1">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de manera agrupada, acerca de las modificaciones a la Hacienda Pública contribuida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B92566" w:rsidRPr="00BA272D" w:rsidRDefault="008A5AE2" w:rsidP="008A5AE2">
      <w:pPr>
        <w:autoSpaceDE w:val="0"/>
        <w:autoSpaceDN w:val="0"/>
        <w:adjustRightInd w:val="0"/>
        <w:spacing w:before="240"/>
        <w:jc w:val="center"/>
        <w:rPr>
          <w:rFonts w:ascii="Arial" w:eastAsia="Calibri" w:hAnsi="Arial" w:cs="Arial"/>
          <w:b/>
          <w:spacing w:val="-1"/>
          <w:sz w:val="17"/>
          <w:szCs w:val="17"/>
        </w:rPr>
      </w:pPr>
      <w:r>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W w:w="6804" w:type="dxa"/>
        <w:tblInd w:w="2838" w:type="dxa"/>
        <w:tblLayout w:type="fixed"/>
        <w:tblCellMar>
          <w:left w:w="70" w:type="dxa"/>
          <w:right w:w="70" w:type="dxa"/>
        </w:tblCellMar>
        <w:tblLook w:val="04A0" w:firstRow="1" w:lastRow="0" w:firstColumn="1" w:lastColumn="0" w:noHBand="0" w:noVBand="1"/>
      </w:tblPr>
      <w:tblGrid>
        <w:gridCol w:w="2977"/>
        <w:gridCol w:w="1701"/>
        <w:gridCol w:w="2126"/>
      </w:tblGrid>
      <w:tr w:rsidR="00B92566" w:rsidRPr="00B92566" w:rsidTr="008A5AE2">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92566" w:rsidRPr="00B92566" w:rsidRDefault="00B92566" w:rsidP="00B92566">
            <w:pPr>
              <w:jc w:val="center"/>
              <w:rPr>
                <w:rFonts w:ascii="Arial" w:hAnsi="Arial" w:cs="Arial"/>
                <w:b/>
                <w:bCs/>
                <w:color w:val="000000"/>
                <w:sz w:val="17"/>
                <w:szCs w:val="17"/>
              </w:rPr>
            </w:pPr>
            <w:r w:rsidRPr="00B92566">
              <w:rPr>
                <w:rFonts w:ascii="Arial" w:hAnsi="Arial" w:cs="Arial"/>
                <w:b/>
                <w:bCs/>
                <w:color w:val="000000"/>
                <w:sz w:val="17"/>
                <w:szCs w:val="17"/>
              </w:rPr>
              <w:t>Cuenta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B92566" w:rsidRPr="00B92566" w:rsidRDefault="00B92566" w:rsidP="00B92566">
            <w:pPr>
              <w:jc w:val="center"/>
              <w:rPr>
                <w:rFonts w:ascii="Arial" w:hAnsi="Arial" w:cs="Arial"/>
                <w:b/>
                <w:bCs/>
                <w:color w:val="000000"/>
                <w:sz w:val="17"/>
                <w:szCs w:val="17"/>
              </w:rPr>
            </w:pPr>
            <w:r w:rsidRPr="00B92566">
              <w:rPr>
                <w:rFonts w:ascii="Arial" w:hAnsi="Arial" w:cs="Arial"/>
                <w:b/>
                <w:bCs/>
                <w:color w:val="000000"/>
                <w:sz w:val="17"/>
                <w:szCs w:val="17"/>
              </w:rPr>
              <w:t>2021</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B92566" w:rsidRPr="00B92566" w:rsidRDefault="00B92566" w:rsidP="00B92566">
            <w:pPr>
              <w:jc w:val="center"/>
              <w:rPr>
                <w:rFonts w:ascii="Arial" w:hAnsi="Arial" w:cs="Arial"/>
                <w:b/>
                <w:bCs/>
                <w:color w:val="000000"/>
                <w:sz w:val="17"/>
                <w:szCs w:val="17"/>
              </w:rPr>
            </w:pPr>
            <w:r w:rsidRPr="00B92566">
              <w:rPr>
                <w:rFonts w:ascii="Arial" w:hAnsi="Arial" w:cs="Arial"/>
                <w:b/>
                <w:bCs/>
                <w:color w:val="000000"/>
                <w:sz w:val="17"/>
                <w:szCs w:val="17"/>
              </w:rPr>
              <w:t>2020</w:t>
            </w:r>
          </w:p>
        </w:tc>
      </w:tr>
      <w:tr w:rsidR="00B92566" w:rsidRPr="00B92566" w:rsidTr="008A5AE2">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92566" w:rsidRPr="00B92566" w:rsidRDefault="008A5AE2" w:rsidP="00B92566">
            <w:pPr>
              <w:rPr>
                <w:rFonts w:ascii="Arial" w:hAnsi="Arial" w:cs="Arial"/>
                <w:color w:val="000000"/>
                <w:sz w:val="17"/>
                <w:szCs w:val="17"/>
              </w:rPr>
            </w:pPr>
            <w:r w:rsidRPr="00B92566">
              <w:rPr>
                <w:rFonts w:ascii="Arial" w:hAnsi="Arial" w:cs="Arial"/>
                <w:color w:val="000000"/>
                <w:sz w:val="17"/>
                <w:szCs w:val="17"/>
              </w:rPr>
              <w:t>Hacienda Pública/Patrimonio</w:t>
            </w:r>
          </w:p>
        </w:tc>
        <w:tc>
          <w:tcPr>
            <w:tcW w:w="1701" w:type="dxa"/>
            <w:tcBorders>
              <w:top w:val="nil"/>
              <w:left w:val="nil"/>
              <w:bottom w:val="single" w:sz="4" w:space="0" w:color="auto"/>
              <w:right w:val="single" w:sz="4" w:space="0" w:color="auto"/>
            </w:tcBorders>
            <w:shd w:val="clear" w:color="auto" w:fill="auto"/>
            <w:vAlign w:val="center"/>
            <w:hideMark/>
          </w:tcPr>
          <w:p w:rsidR="00B92566" w:rsidRPr="00B92566" w:rsidRDefault="00B92566" w:rsidP="00B92566">
            <w:pPr>
              <w:jc w:val="right"/>
              <w:rPr>
                <w:rFonts w:ascii="Arial" w:hAnsi="Arial" w:cs="Arial"/>
                <w:color w:val="000000"/>
                <w:sz w:val="17"/>
                <w:szCs w:val="17"/>
              </w:rPr>
            </w:pPr>
            <w:r w:rsidRPr="00B92566">
              <w:rPr>
                <w:rFonts w:ascii="Arial" w:hAnsi="Arial" w:cs="Arial"/>
                <w:color w:val="000000"/>
                <w:sz w:val="17"/>
                <w:szCs w:val="17"/>
              </w:rPr>
              <w:t>-62,884,330,872</w:t>
            </w:r>
          </w:p>
        </w:tc>
        <w:tc>
          <w:tcPr>
            <w:tcW w:w="2126" w:type="dxa"/>
            <w:tcBorders>
              <w:top w:val="nil"/>
              <w:left w:val="nil"/>
              <w:bottom w:val="single" w:sz="4" w:space="0" w:color="auto"/>
              <w:right w:val="single" w:sz="4" w:space="0" w:color="auto"/>
            </w:tcBorders>
            <w:shd w:val="clear" w:color="auto" w:fill="auto"/>
            <w:vAlign w:val="center"/>
            <w:hideMark/>
          </w:tcPr>
          <w:p w:rsidR="00B92566" w:rsidRPr="00B92566" w:rsidRDefault="00B92566" w:rsidP="00B92566">
            <w:pPr>
              <w:jc w:val="right"/>
              <w:rPr>
                <w:rFonts w:ascii="Arial" w:hAnsi="Arial" w:cs="Arial"/>
                <w:color w:val="000000"/>
                <w:sz w:val="17"/>
                <w:szCs w:val="17"/>
              </w:rPr>
            </w:pPr>
            <w:r w:rsidRPr="00B92566">
              <w:rPr>
                <w:rFonts w:ascii="Arial" w:hAnsi="Arial" w:cs="Arial"/>
                <w:color w:val="000000"/>
                <w:sz w:val="17"/>
                <w:szCs w:val="17"/>
              </w:rPr>
              <w:t>-63,216,617,145</w:t>
            </w:r>
          </w:p>
        </w:tc>
      </w:tr>
    </w:tbl>
    <w:p w:rsidR="00F71E5C" w:rsidRPr="00BA272D" w:rsidRDefault="00F71E5C" w:rsidP="00F71E5C">
      <w:pPr>
        <w:spacing w:before="80" w:line="250" w:lineRule="exact"/>
        <w:ind w:left="709"/>
        <w:jc w:val="both"/>
        <w:rPr>
          <w:rFonts w:ascii="Arial" w:eastAsia="Calibri" w:hAnsi="Arial" w:cs="Arial"/>
          <w:spacing w:val="-1"/>
          <w:sz w:val="17"/>
          <w:szCs w:val="17"/>
        </w:rPr>
      </w:pPr>
    </w:p>
    <w:p w:rsidR="00F71E5C" w:rsidRPr="00BA272D" w:rsidRDefault="00F71E5C" w:rsidP="00D809C4">
      <w:pPr>
        <w:spacing w:before="80" w:line="250" w:lineRule="exact"/>
        <w:ind w:left="709" w:right="-1559"/>
        <w:jc w:val="both"/>
        <w:rPr>
          <w:rFonts w:ascii="Arial" w:eastAsia="Calibri" w:hAnsi="Arial" w:cs="Arial"/>
          <w:spacing w:val="-1"/>
          <w:sz w:val="17"/>
          <w:szCs w:val="17"/>
        </w:rPr>
      </w:pPr>
    </w:p>
    <w:p w:rsidR="00660A33" w:rsidRDefault="008A5AE2" w:rsidP="008A5AE2">
      <w:pPr>
        <w:ind w:right="-1559" w:firstLine="708"/>
        <w:jc w:val="both"/>
        <w:rPr>
          <w:rFonts w:ascii="Arial" w:hAnsi="Arial" w:cs="Arial"/>
          <w:sz w:val="17"/>
          <w:szCs w:val="17"/>
        </w:rPr>
      </w:pPr>
      <w:r>
        <w:rPr>
          <w:rFonts w:ascii="Arial" w:hAnsi="Arial" w:cs="Arial"/>
          <w:sz w:val="17"/>
          <w:szCs w:val="17"/>
        </w:rPr>
        <w:t xml:space="preserve">   La</w:t>
      </w:r>
      <w:r w:rsidR="00066EEA" w:rsidRPr="00E109D3">
        <w:rPr>
          <w:rFonts w:ascii="Arial" w:hAnsi="Arial" w:cs="Arial"/>
          <w:sz w:val="17"/>
          <w:szCs w:val="17"/>
        </w:rPr>
        <w:t xml:space="preserve"> </w:t>
      </w:r>
      <w:r>
        <w:rPr>
          <w:rFonts w:ascii="Arial" w:hAnsi="Arial" w:cs="Arial"/>
          <w:sz w:val="17"/>
          <w:szCs w:val="17"/>
        </w:rPr>
        <w:t>V</w:t>
      </w:r>
      <w:r w:rsidR="00E109D3" w:rsidRPr="00E109D3">
        <w:rPr>
          <w:rFonts w:ascii="Arial" w:hAnsi="Arial" w:cs="Arial"/>
          <w:sz w:val="17"/>
          <w:szCs w:val="17"/>
        </w:rPr>
        <w:t>ariación en</w:t>
      </w:r>
      <w:r w:rsidR="00D809C4" w:rsidRPr="00E109D3">
        <w:rPr>
          <w:rFonts w:ascii="Arial" w:hAnsi="Arial" w:cs="Arial"/>
          <w:sz w:val="17"/>
          <w:szCs w:val="17"/>
        </w:rPr>
        <w:t xml:space="preserve"> la Hacie</w:t>
      </w:r>
      <w:r w:rsidR="00E109D3" w:rsidRPr="00E109D3">
        <w:rPr>
          <w:rFonts w:ascii="Arial" w:hAnsi="Arial" w:cs="Arial"/>
          <w:sz w:val="17"/>
          <w:szCs w:val="17"/>
        </w:rPr>
        <w:t>nda Pública/Patrimonio se debe principalmente al resultado del ejercicio 2021.</w:t>
      </w:r>
    </w:p>
    <w:p w:rsidR="004913BF" w:rsidRPr="00660A33" w:rsidRDefault="004913BF" w:rsidP="008A5AE2">
      <w:pPr>
        <w:ind w:right="-1559" w:firstLine="708"/>
        <w:jc w:val="both"/>
        <w:rPr>
          <w:rFonts w:ascii="Calibri" w:hAnsi="Calibri" w:cs="Calibri"/>
          <w:color w:val="000000"/>
          <w:sz w:val="22"/>
          <w:szCs w:val="22"/>
        </w:rPr>
      </w:pPr>
    </w:p>
    <w:p w:rsidR="0037045C" w:rsidRPr="008B05FF" w:rsidRDefault="0037045C" w:rsidP="0037045C">
      <w:pPr>
        <w:jc w:val="both"/>
        <w:rPr>
          <w:rFonts w:ascii="Arial" w:hAnsi="Arial" w:cs="Arial"/>
          <w:sz w:val="17"/>
          <w:szCs w:val="17"/>
        </w:rPr>
      </w:pPr>
    </w:p>
    <w:p w:rsidR="004913BF" w:rsidRDefault="004913BF" w:rsidP="004913BF">
      <w:pPr>
        <w:spacing w:before="80" w:line="240" w:lineRule="exact"/>
        <w:ind w:left="851"/>
        <w:jc w:val="both"/>
        <w:rPr>
          <w:rFonts w:ascii="Arial" w:eastAsia="Calibri" w:hAnsi="Arial" w:cs="Arial"/>
          <w:spacing w:val="-1"/>
          <w:sz w:val="17"/>
          <w:szCs w:val="17"/>
        </w:rPr>
      </w:pPr>
      <w:r w:rsidRPr="00F47B33">
        <w:rPr>
          <w:rFonts w:ascii="Arial" w:eastAsia="Calibri" w:hAnsi="Arial" w:cs="Arial"/>
          <w:spacing w:val="-1"/>
          <w:sz w:val="17"/>
          <w:szCs w:val="17"/>
        </w:rPr>
        <w:t xml:space="preserve">Dentro del grupo de Resultado de Ejercicios Anteriores se tiene una variación acumulada por la cantidad de </w:t>
      </w:r>
      <w:r w:rsidRPr="004913BF">
        <w:rPr>
          <w:rFonts w:ascii="Arial" w:eastAsia="Calibri" w:hAnsi="Arial" w:cs="Arial"/>
          <w:spacing w:val="-1"/>
          <w:sz w:val="17"/>
          <w:szCs w:val="17"/>
        </w:rPr>
        <w:t>$6,158, 661,103.90</w:t>
      </w:r>
      <w:r w:rsidRPr="00F47B33">
        <w:rPr>
          <w:rFonts w:ascii="Arial" w:eastAsia="Calibri" w:hAnsi="Arial" w:cs="Arial"/>
          <w:spacing w:val="-1"/>
          <w:sz w:val="17"/>
          <w:szCs w:val="17"/>
        </w:rPr>
        <w:t>, la cual se deriva de las siguientes reclasificaciones:</w:t>
      </w:r>
    </w:p>
    <w:p w:rsidR="004913BF" w:rsidRPr="00F47B33" w:rsidRDefault="004913BF" w:rsidP="004913BF">
      <w:pPr>
        <w:spacing w:before="80" w:line="240" w:lineRule="exact"/>
        <w:ind w:left="851"/>
        <w:jc w:val="both"/>
        <w:rPr>
          <w:rFonts w:ascii="Arial" w:eastAsia="Calibri" w:hAnsi="Arial" w:cs="Arial"/>
          <w:spacing w:val="-1"/>
          <w:sz w:val="17"/>
          <w:szCs w:val="17"/>
        </w:rPr>
      </w:pPr>
    </w:p>
    <w:p w:rsidR="004913BF" w:rsidRDefault="004913BF" w:rsidP="004913BF">
      <w:pPr>
        <w:pStyle w:val="Prrafodelista"/>
        <w:numPr>
          <w:ilvl w:val="0"/>
          <w:numId w:val="41"/>
        </w:numPr>
        <w:spacing w:before="80" w:line="240" w:lineRule="exact"/>
        <w:ind w:left="851" w:firstLine="0"/>
        <w:jc w:val="both"/>
        <w:rPr>
          <w:rFonts w:ascii="Arial" w:eastAsia="Calibri" w:hAnsi="Arial" w:cs="Arial"/>
          <w:spacing w:val="-1"/>
          <w:sz w:val="17"/>
          <w:szCs w:val="17"/>
        </w:rPr>
      </w:pPr>
      <w:r w:rsidRPr="00F47B33">
        <w:rPr>
          <w:rFonts w:ascii="Arial" w:eastAsia="Calibri" w:hAnsi="Arial" w:cs="Arial"/>
          <w:spacing w:val="-1"/>
          <w:sz w:val="17"/>
          <w:szCs w:val="17"/>
        </w:rPr>
        <w:t>En el grupo de aportaciones se encontraba el registro de activos fijos, cuentas utilizadas para realizar el registro contable de un activo fijo propiedad del Poder Ejecutivo antes de la Ley General de Contabilidad Gubernamental.</w:t>
      </w:r>
    </w:p>
    <w:p w:rsidR="004913BF" w:rsidRPr="00F47B33" w:rsidRDefault="004913BF" w:rsidP="004913BF">
      <w:pPr>
        <w:pStyle w:val="Prrafodelista"/>
        <w:spacing w:before="80" w:line="240" w:lineRule="exact"/>
        <w:ind w:left="851"/>
        <w:jc w:val="both"/>
        <w:rPr>
          <w:rFonts w:ascii="Arial" w:eastAsia="Calibri" w:hAnsi="Arial" w:cs="Arial"/>
          <w:spacing w:val="-1"/>
          <w:sz w:val="17"/>
          <w:szCs w:val="17"/>
        </w:rPr>
      </w:pPr>
    </w:p>
    <w:p w:rsidR="004913BF" w:rsidRDefault="004913BF" w:rsidP="004913BF">
      <w:pPr>
        <w:pStyle w:val="Prrafodelista"/>
        <w:numPr>
          <w:ilvl w:val="0"/>
          <w:numId w:val="41"/>
        </w:numPr>
        <w:spacing w:before="80" w:line="240" w:lineRule="exact"/>
        <w:ind w:left="851" w:firstLine="0"/>
        <w:jc w:val="both"/>
        <w:rPr>
          <w:rFonts w:ascii="Arial" w:eastAsia="Calibri" w:hAnsi="Arial" w:cs="Arial"/>
          <w:spacing w:val="-1"/>
          <w:sz w:val="17"/>
          <w:szCs w:val="17"/>
        </w:rPr>
      </w:pPr>
      <w:r w:rsidRPr="00F47B33">
        <w:rPr>
          <w:rFonts w:ascii="Arial" w:eastAsia="Calibri" w:hAnsi="Arial" w:cs="Arial"/>
          <w:spacing w:val="-1"/>
          <w:sz w:val="17"/>
          <w:szCs w:val="17"/>
        </w:rPr>
        <w:t>En el grupo de donaciones de capital se registraban las donaciones otorgadas al Poder Ejecutivo, lo cual incumplía lo estipulado en la Ley General de Contabilidad Gubernamental.</w:t>
      </w:r>
    </w:p>
    <w:p w:rsidR="004913BF" w:rsidRPr="004913BF" w:rsidRDefault="004913BF" w:rsidP="004913BF">
      <w:pPr>
        <w:pStyle w:val="Prrafodelista"/>
        <w:rPr>
          <w:rFonts w:ascii="Arial" w:eastAsia="Calibri" w:hAnsi="Arial" w:cs="Arial"/>
          <w:spacing w:val="-1"/>
          <w:sz w:val="17"/>
          <w:szCs w:val="17"/>
        </w:rPr>
      </w:pPr>
    </w:p>
    <w:p w:rsidR="004913BF" w:rsidRPr="004913BF" w:rsidRDefault="004913BF" w:rsidP="004913BF">
      <w:pPr>
        <w:pStyle w:val="Prrafodelista"/>
        <w:spacing w:before="80" w:line="240" w:lineRule="exact"/>
        <w:ind w:left="851"/>
        <w:jc w:val="both"/>
        <w:rPr>
          <w:rFonts w:ascii="Arial" w:eastAsia="Calibri" w:hAnsi="Arial" w:cs="Arial"/>
          <w:spacing w:val="-1"/>
          <w:sz w:val="17"/>
          <w:szCs w:val="17"/>
        </w:rPr>
      </w:pPr>
    </w:p>
    <w:p w:rsidR="004913BF" w:rsidRPr="00F47B33" w:rsidRDefault="004913BF" w:rsidP="004913BF">
      <w:pPr>
        <w:pStyle w:val="Prrafodelista"/>
        <w:numPr>
          <w:ilvl w:val="0"/>
          <w:numId w:val="41"/>
        </w:numPr>
        <w:spacing w:before="80" w:line="240" w:lineRule="exact"/>
        <w:ind w:left="851" w:firstLine="0"/>
        <w:jc w:val="both"/>
        <w:rPr>
          <w:rFonts w:ascii="Arial" w:eastAsia="Calibri" w:hAnsi="Arial" w:cs="Arial"/>
          <w:spacing w:val="-1"/>
          <w:sz w:val="17"/>
          <w:szCs w:val="17"/>
        </w:rPr>
      </w:pPr>
      <w:r w:rsidRPr="00F47B33">
        <w:rPr>
          <w:rFonts w:ascii="Arial" w:eastAsia="Calibri" w:hAnsi="Arial" w:cs="Arial"/>
          <w:spacing w:val="-1"/>
          <w:sz w:val="17"/>
          <w:szCs w:val="17"/>
        </w:rPr>
        <w:t>En el grupo de rectificaciones de resultados de ejercicios anteriores, se realizaban el registro en la partida de errores contables afectaciones que correspondían a resultados de ejercicios anteriores.</w:t>
      </w:r>
    </w:p>
    <w:p w:rsidR="004B105F" w:rsidRDefault="004B105F" w:rsidP="00B65684">
      <w:pPr>
        <w:spacing w:before="80" w:line="250" w:lineRule="exact"/>
        <w:ind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4B105F" w:rsidRDefault="004B105F" w:rsidP="00066EEA">
      <w:pPr>
        <w:spacing w:before="80" w:line="250" w:lineRule="exact"/>
        <w:ind w:left="851" w:right="-1559"/>
        <w:jc w:val="both"/>
        <w:rPr>
          <w:rFonts w:ascii="Arial" w:hAnsi="Arial" w:cs="Arial"/>
          <w:sz w:val="17"/>
          <w:szCs w:val="17"/>
        </w:rPr>
      </w:pPr>
    </w:p>
    <w:p w:rsidR="00B65684" w:rsidRDefault="00B65684" w:rsidP="004B105F">
      <w:pPr>
        <w:spacing w:before="80" w:line="250" w:lineRule="exact"/>
        <w:ind w:right="-1559"/>
        <w:jc w:val="both"/>
        <w:rPr>
          <w:rFonts w:ascii="Arial" w:hAnsi="Arial" w:cs="Arial"/>
          <w:sz w:val="17"/>
          <w:szCs w:val="17"/>
        </w:rPr>
      </w:pPr>
    </w:p>
    <w:p w:rsidR="00F71E5C" w:rsidRPr="00BA272D" w:rsidRDefault="00F71E5C" w:rsidP="0017087B">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lastRenderedPageBreak/>
        <w:t>Notas al Estado de Flujos de Efectivo</w:t>
      </w:r>
    </w:p>
    <w:p w:rsidR="00584FD0" w:rsidRPr="00BA272D" w:rsidRDefault="00584FD0" w:rsidP="0017087B">
      <w:pPr>
        <w:pStyle w:val="Prrafodelista"/>
        <w:autoSpaceDE w:val="0"/>
        <w:autoSpaceDN w:val="0"/>
        <w:adjustRightInd w:val="0"/>
        <w:spacing w:before="240" w:after="120"/>
        <w:ind w:left="851"/>
        <w:jc w:val="both"/>
        <w:rPr>
          <w:rFonts w:ascii="Arial" w:hAnsi="Arial" w:cs="Arial"/>
          <w:b/>
          <w:sz w:val="17"/>
          <w:szCs w:val="17"/>
        </w:rPr>
      </w:pPr>
    </w:p>
    <w:p w:rsidR="00F71E5C" w:rsidRPr="00BA272D" w:rsidRDefault="00F71E5C" w:rsidP="0017087B">
      <w:pPr>
        <w:pStyle w:val="Prrafodelista"/>
        <w:autoSpaceDE w:val="0"/>
        <w:autoSpaceDN w:val="0"/>
        <w:adjustRightInd w:val="0"/>
        <w:spacing w:before="240" w:after="120"/>
        <w:ind w:left="851"/>
        <w:jc w:val="both"/>
        <w:rPr>
          <w:rFonts w:ascii="Arial" w:hAnsi="Arial" w:cs="Arial"/>
          <w:b/>
          <w:sz w:val="17"/>
          <w:szCs w:val="17"/>
        </w:rPr>
      </w:pPr>
    </w:p>
    <w:p w:rsidR="00F71E5C" w:rsidRPr="00BA272D" w:rsidRDefault="00F71E5C" w:rsidP="0017087B">
      <w:pPr>
        <w:pStyle w:val="Prrafodelista"/>
        <w:numPr>
          <w:ilvl w:val="0"/>
          <w:numId w:val="8"/>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t>Efectivo y equivalentes</w:t>
      </w:r>
    </w:p>
    <w:p w:rsidR="00F71E5C" w:rsidRPr="00BA272D" w:rsidRDefault="00F71E5C" w:rsidP="0017087B">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F71E5C" w:rsidRPr="00BA272D" w:rsidRDefault="008711D5" w:rsidP="00F71E5C">
      <w:pPr>
        <w:autoSpaceDE w:val="0"/>
        <w:autoSpaceDN w:val="0"/>
        <w:adjustRightInd w:val="0"/>
        <w:spacing w:before="240"/>
        <w:jc w:val="center"/>
        <w:rPr>
          <w:rFonts w:ascii="Arial" w:eastAsia="Calibri" w:hAnsi="Arial" w:cs="Arial"/>
          <w:b/>
          <w:spacing w:val="-1"/>
          <w:sz w:val="17"/>
          <w:szCs w:val="17"/>
        </w:rPr>
      </w:pPr>
      <w:r>
        <w:rPr>
          <w:rFonts w:ascii="Arial" w:eastAsia="Calibri" w:hAnsi="Arial" w:cs="Arial"/>
          <w:b/>
          <w:spacing w:val="-1"/>
          <w:sz w:val="17"/>
          <w:szCs w:val="17"/>
        </w:rPr>
        <w:t xml:space="preserve">           </w:t>
      </w:r>
      <w:r w:rsidR="0017087B">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W w:w="9260" w:type="dxa"/>
        <w:tblInd w:w="1658" w:type="dxa"/>
        <w:tblCellMar>
          <w:left w:w="70" w:type="dxa"/>
          <w:right w:w="70" w:type="dxa"/>
        </w:tblCellMar>
        <w:tblLook w:val="04A0" w:firstRow="1" w:lastRow="0" w:firstColumn="1" w:lastColumn="0" w:noHBand="0" w:noVBand="1"/>
      </w:tblPr>
      <w:tblGrid>
        <w:gridCol w:w="4900"/>
        <w:gridCol w:w="2180"/>
        <w:gridCol w:w="2180"/>
      </w:tblGrid>
      <w:tr w:rsidR="00F71E5C" w:rsidRPr="00BA272D" w:rsidTr="008711D5">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2021</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2020</w:t>
            </w:r>
          </w:p>
        </w:tc>
      </w:tr>
      <w:tr w:rsidR="00FB1EEE" w:rsidRPr="00BA272D"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Efectivo en Bancos – Tesorería</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2,884,864,125 </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3,877,706,522 </w:t>
            </w:r>
          </w:p>
        </w:tc>
      </w:tr>
      <w:tr w:rsidR="00FB1EEE" w:rsidRPr="00BA272D"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Efectivo en Bancos – Dependencias</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7,976,167 </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10,212,956 </w:t>
            </w:r>
          </w:p>
        </w:tc>
      </w:tr>
      <w:tr w:rsidR="00FB1EEE" w:rsidRPr="00BA272D"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919,988,871 </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584,765,210 </w:t>
            </w:r>
          </w:p>
        </w:tc>
      </w:tr>
      <w:tr w:rsidR="00FB1EEE" w:rsidRPr="00BA272D"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8711D5">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1EEE" w:rsidRPr="00BA272D" w:rsidRDefault="00FB1EEE" w:rsidP="00FB1EEE">
            <w:pPr>
              <w:rPr>
                <w:rFonts w:ascii="Arial" w:hAnsi="Arial" w:cs="Arial"/>
                <w:color w:val="000000"/>
                <w:sz w:val="17"/>
                <w:szCs w:val="17"/>
              </w:rPr>
            </w:pPr>
            <w:r w:rsidRPr="00BA272D">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   </w:t>
            </w:r>
          </w:p>
        </w:tc>
      </w:tr>
      <w:tr w:rsidR="00FB1EEE" w:rsidRPr="00BA272D" w:rsidTr="008711D5">
        <w:trPr>
          <w:trHeight w:val="58"/>
        </w:trPr>
        <w:tc>
          <w:tcPr>
            <w:tcW w:w="4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B1EEE" w:rsidRPr="00BA272D" w:rsidRDefault="00FB1EEE" w:rsidP="00FB1EEE">
            <w:pPr>
              <w:jc w:val="center"/>
              <w:rPr>
                <w:rFonts w:ascii="Arial" w:hAnsi="Arial" w:cs="Arial"/>
                <w:b/>
                <w:bCs/>
                <w:color w:val="000000"/>
                <w:sz w:val="17"/>
                <w:szCs w:val="17"/>
              </w:rPr>
            </w:pPr>
            <w:r w:rsidRPr="00BA272D">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3,812,829,163 </w:t>
            </w:r>
          </w:p>
        </w:tc>
        <w:tc>
          <w:tcPr>
            <w:tcW w:w="2180" w:type="dxa"/>
            <w:tcBorders>
              <w:top w:val="nil"/>
              <w:left w:val="nil"/>
              <w:bottom w:val="single" w:sz="4" w:space="0" w:color="auto"/>
              <w:right w:val="single" w:sz="4" w:space="0" w:color="auto"/>
            </w:tcBorders>
            <w:shd w:val="clear" w:color="auto" w:fill="BFBFBF" w:themeFill="background1" w:themeFillShade="BF"/>
          </w:tcPr>
          <w:p w:rsidR="00FB1EEE" w:rsidRPr="00BA272D" w:rsidRDefault="00FB1EEE" w:rsidP="00FB1EEE">
            <w:pPr>
              <w:jc w:val="right"/>
              <w:rPr>
                <w:rFonts w:ascii="Arial" w:hAnsi="Arial" w:cs="Arial"/>
                <w:sz w:val="17"/>
                <w:szCs w:val="17"/>
              </w:rPr>
            </w:pPr>
            <w:r w:rsidRPr="00BA272D">
              <w:rPr>
                <w:rFonts w:ascii="Arial" w:hAnsi="Arial" w:cs="Arial"/>
                <w:sz w:val="17"/>
                <w:szCs w:val="17"/>
              </w:rPr>
              <w:t xml:space="preserve"> 4,472,684,688 </w:t>
            </w:r>
          </w:p>
        </w:tc>
      </w:tr>
    </w:tbl>
    <w:p w:rsidR="00605B36" w:rsidRDefault="00605B36" w:rsidP="004B105F">
      <w:pPr>
        <w:spacing w:before="80" w:line="250" w:lineRule="exact"/>
        <w:ind w:left="851" w:right="-1559"/>
        <w:jc w:val="both"/>
        <w:rPr>
          <w:rFonts w:ascii="Arial" w:eastAsia="Calibri" w:hAnsi="Arial" w:cs="Arial"/>
          <w:spacing w:val="-1"/>
          <w:sz w:val="17"/>
          <w:szCs w:val="17"/>
        </w:rPr>
      </w:pPr>
    </w:p>
    <w:p w:rsidR="00C14511" w:rsidRDefault="008C627D" w:rsidP="004B105F">
      <w:pPr>
        <w:spacing w:before="80" w:line="250" w:lineRule="exact"/>
        <w:ind w:left="851" w:right="-1559"/>
        <w:jc w:val="both"/>
        <w:rPr>
          <w:rFonts w:ascii="Arial" w:eastAsia="Calibri" w:hAnsi="Arial" w:cs="Arial"/>
          <w:b/>
          <w:spacing w:val="-1"/>
          <w:sz w:val="17"/>
          <w:szCs w:val="17"/>
        </w:rPr>
      </w:pPr>
      <w:r>
        <w:rPr>
          <w:rFonts w:ascii="Arial" w:eastAsia="Calibri" w:hAnsi="Arial" w:cs="Arial"/>
          <w:spacing w:val="-1"/>
          <w:sz w:val="17"/>
          <w:szCs w:val="17"/>
        </w:rPr>
        <w:t>C</w:t>
      </w:r>
      <w:r w:rsidR="00F71E5C" w:rsidRPr="00BA272D">
        <w:rPr>
          <w:rFonts w:ascii="Arial" w:eastAsia="Calibri" w:hAnsi="Arial" w:cs="Arial"/>
          <w:spacing w:val="-1"/>
          <w:sz w:val="17"/>
          <w:szCs w:val="17"/>
        </w:rPr>
        <w:t>onciliación de los Flujos de Efectivos Netos de las Actividades de Operación y la cuenta de Ahorro/Desahorro antes de Rubros Extraordinarios:</w:t>
      </w:r>
      <w:r w:rsidR="008441ED">
        <w:rPr>
          <w:rFonts w:ascii="Arial" w:eastAsia="Calibri" w:hAnsi="Arial" w:cs="Arial"/>
          <w:b/>
          <w:spacing w:val="-1"/>
          <w:sz w:val="17"/>
          <w:szCs w:val="17"/>
        </w:rPr>
        <w:t xml:space="preserve">                                                                                       </w:t>
      </w:r>
    </w:p>
    <w:p w:rsidR="00C14511" w:rsidRDefault="00C14511" w:rsidP="004B105F">
      <w:pPr>
        <w:spacing w:before="80" w:line="250" w:lineRule="exact"/>
        <w:ind w:right="-1559"/>
        <w:rPr>
          <w:rFonts w:ascii="Arial" w:eastAsia="Calibri" w:hAnsi="Arial" w:cs="Arial"/>
          <w:b/>
          <w:spacing w:val="-1"/>
          <w:sz w:val="17"/>
          <w:szCs w:val="17"/>
        </w:rPr>
      </w:pPr>
    </w:p>
    <w:p w:rsidR="00F71E5C" w:rsidRDefault="00C14511" w:rsidP="004B105F">
      <w:pPr>
        <w:spacing w:before="80" w:line="250" w:lineRule="exact"/>
        <w:ind w:left="851" w:right="-1559"/>
        <w:rPr>
          <w:rFonts w:ascii="Arial" w:eastAsia="Calibri" w:hAnsi="Arial" w:cs="Arial"/>
          <w:b/>
          <w:spacing w:val="-1"/>
          <w:sz w:val="17"/>
          <w:szCs w:val="17"/>
        </w:rPr>
      </w:pPr>
      <w:r>
        <w:rPr>
          <w:rFonts w:ascii="Arial" w:eastAsia="Calibri" w:hAnsi="Arial" w:cs="Arial"/>
          <w:b/>
          <w:spacing w:val="-1"/>
          <w:sz w:val="17"/>
          <w:szCs w:val="17"/>
        </w:rPr>
        <w:t xml:space="preserve">                                                                                                                     </w:t>
      </w:r>
      <w:r w:rsidR="008441ED" w:rsidRPr="00D00509">
        <w:rPr>
          <w:rFonts w:ascii="Arial" w:eastAsia="Calibri" w:hAnsi="Arial" w:cs="Arial"/>
          <w:b/>
          <w:spacing w:val="-1"/>
          <w:sz w:val="17"/>
          <w:szCs w:val="17"/>
        </w:rPr>
        <w:t>(Pesos)</w:t>
      </w:r>
      <w:r w:rsidR="00FA5B2F" w:rsidRPr="00D00509">
        <w:rPr>
          <w:rFonts w:ascii="Arial" w:eastAsia="Calibri" w:hAnsi="Arial" w:cs="Arial"/>
          <w:b/>
          <w:spacing w:val="-1"/>
          <w:sz w:val="17"/>
          <w:szCs w:val="17"/>
        </w:rPr>
        <w:t xml:space="preserve">         </w:t>
      </w:r>
    </w:p>
    <w:tbl>
      <w:tblPr>
        <w:tblpPr w:leftFromText="141" w:rightFromText="141" w:vertAnchor="text" w:horzAnchor="margin" w:tblpXSpec="center" w:tblpY="262"/>
        <w:tblOverlap w:val="never"/>
        <w:tblW w:w="9238" w:type="dxa"/>
        <w:tblCellMar>
          <w:left w:w="70" w:type="dxa"/>
          <w:right w:w="70" w:type="dxa"/>
        </w:tblCellMar>
        <w:tblLook w:val="04A0" w:firstRow="1" w:lastRow="0" w:firstColumn="1" w:lastColumn="0" w:noHBand="0" w:noVBand="1"/>
      </w:tblPr>
      <w:tblGrid>
        <w:gridCol w:w="5082"/>
        <w:gridCol w:w="2078"/>
        <w:gridCol w:w="2078"/>
      </w:tblGrid>
      <w:tr w:rsidR="008711D5" w:rsidRPr="00FD65F2" w:rsidTr="008711D5">
        <w:trPr>
          <w:trHeight w:val="253"/>
        </w:trPr>
        <w:tc>
          <w:tcPr>
            <w:tcW w:w="5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711D5" w:rsidRPr="00FD65F2" w:rsidRDefault="008711D5" w:rsidP="008711D5">
            <w:pPr>
              <w:jc w:val="center"/>
              <w:rPr>
                <w:rFonts w:ascii="Arial" w:hAnsi="Arial" w:cs="Arial"/>
                <w:b/>
                <w:bCs/>
                <w:color w:val="000000"/>
                <w:sz w:val="17"/>
                <w:szCs w:val="17"/>
              </w:rPr>
            </w:pPr>
            <w:r w:rsidRPr="00FD65F2">
              <w:rPr>
                <w:rFonts w:ascii="Arial" w:hAnsi="Arial" w:cs="Arial"/>
                <w:b/>
                <w:bCs/>
                <w:color w:val="000000"/>
                <w:sz w:val="17"/>
                <w:szCs w:val="17"/>
              </w:rPr>
              <w:t> </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711D5" w:rsidRPr="00FD65F2" w:rsidRDefault="008711D5" w:rsidP="008711D5">
            <w:pPr>
              <w:jc w:val="center"/>
              <w:rPr>
                <w:rFonts w:ascii="Arial" w:hAnsi="Arial" w:cs="Arial"/>
                <w:b/>
                <w:bCs/>
                <w:color w:val="000000"/>
                <w:sz w:val="17"/>
                <w:szCs w:val="17"/>
              </w:rPr>
            </w:pPr>
            <w:r w:rsidRPr="00FD65F2">
              <w:rPr>
                <w:rFonts w:ascii="Arial" w:hAnsi="Arial" w:cs="Arial"/>
                <w:b/>
                <w:bCs/>
                <w:color w:val="000000"/>
                <w:sz w:val="17"/>
                <w:szCs w:val="17"/>
              </w:rPr>
              <w:t>2021</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711D5" w:rsidRPr="00FD65F2" w:rsidRDefault="008711D5" w:rsidP="008711D5">
            <w:pPr>
              <w:jc w:val="center"/>
              <w:rPr>
                <w:rFonts w:ascii="Arial" w:hAnsi="Arial" w:cs="Arial"/>
                <w:b/>
                <w:bCs/>
                <w:color w:val="000000"/>
                <w:sz w:val="17"/>
                <w:szCs w:val="17"/>
              </w:rPr>
            </w:pPr>
            <w:r w:rsidRPr="00FD65F2">
              <w:rPr>
                <w:rFonts w:ascii="Arial" w:hAnsi="Arial" w:cs="Arial"/>
                <w:b/>
                <w:bCs/>
                <w:color w:val="000000"/>
                <w:sz w:val="17"/>
                <w:szCs w:val="17"/>
              </w:rPr>
              <w:t>2020</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rPr>
                <w:rFonts w:ascii="Arial" w:hAnsi="Arial" w:cs="Arial"/>
                <w:b/>
                <w:bCs/>
                <w:color w:val="000000"/>
                <w:sz w:val="17"/>
                <w:szCs w:val="17"/>
              </w:rPr>
            </w:pPr>
            <w:r w:rsidRPr="00FD65F2">
              <w:rPr>
                <w:rFonts w:ascii="Arial" w:hAnsi="Arial" w:cs="Arial"/>
                <w:b/>
                <w:bCs/>
                <w:color w:val="000000"/>
                <w:sz w:val="17"/>
                <w:szCs w:val="17"/>
              </w:rPr>
              <w:t>Ahorro/Desahorro antes de Rubros Extraordinarios</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b/>
                <w:sz w:val="17"/>
                <w:szCs w:val="17"/>
              </w:rPr>
            </w:pPr>
            <w:r w:rsidRPr="00FD65F2">
              <w:rPr>
                <w:rFonts w:ascii="Arial" w:hAnsi="Arial" w:cs="Arial"/>
                <w:b/>
                <w:sz w:val="17"/>
                <w:szCs w:val="17"/>
              </w:rPr>
              <w:t xml:space="preserve">-976,590,962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b/>
                <w:sz w:val="17"/>
                <w:szCs w:val="17"/>
              </w:rPr>
            </w:pPr>
            <w:r w:rsidRPr="00FD65F2">
              <w:rPr>
                <w:rFonts w:ascii="Arial" w:hAnsi="Arial" w:cs="Arial"/>
                <w:b/>
                <w:sz w:val="17"/>
                <w:szCs w:val="17"/>
              </w:rPr>
              <w:t xml:space="preserve">-2,274,411,852 </w:t>
            </w:r>
          </w:p>
        </w:tc>
      </w:tr>
      <w:tr w:rsidR="008711D5" w:rsidRPr="00FD65F2" w:rsidTr="008711D5">
        <w:trPr>
          <w:trHeight w:val="110"/>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rPr>
                <w:rFonts w:ascii="Arial" w:hAnsi="Arial" w:cs="Arial"/>
                <w:b/>
                <w:bCs/>
                <w:color w:val="000000"/>
                <w:sz w:val="17"/>
                <w:szCs w:val="17"/>
              </w:rPr>
            </w:pPr>
            <w:r w:rsidRPr="00FD65F2">
              <w:rPr>
                <w:rFonts w:ascii="Arial" w:hAnsi="Arial" w:cs="Arial"/>
                <w:b/>
                <w:bCs/>
                <w:color w:val="000000"/>
                <w:sz w:val="17"/>
                <w:szCs w:val="17"/>
              </w:rPr>
              <w:t>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b/>
                <w:sz w:val="17"/>
                <w:szCs w:val="17"/>
              </w:rPr>
            </w:pP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b/>
                <w:sz w:val="17"/>
                <w:szCs w:val="17"/>
              </w:rPr>
            </w:pP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rPr>
                <w:rFonts w:ascii="Arial" w:hAnsi="Arial" w:cs="Arial"/>
                <w:b/>
                <w:i/>
                <w:iCs/>
                <w:color w:val="000000"/>
                <w:sz w:val="17"/>
                <w:szCs w:val="17"/>
              </w:rPr>
            </w:pPr>
            <w:r w:rsidRPr="00FD65F2">
              <w:rPr>
                <w:rFonts w:ascii="Arial" w:hAnsi="Arial" w:cs="Arial"/>
                <w:b/>
                <w:i/>
                <w:iCs/>
                <w:color w:val="000000"/>
                <w:sz w:val="17"/>
                <w:szCs w:val="17"/>
              </w:rPr>
              <w:t>Movimientos de partidas (o rubros) que no afectan al efectivo</w:t>
            </w:r>
          </w:p>
        </w:tc>
        <w:tc>
          <w:tcPr>
            <w:tcW w:w="2078" w:type="dxa"/>
            <w:tcBorders>
              <w:top w:val="nil"/>
              <w:left w:val="nil"/>
              <w:bottom w:val="single" w:sz="4" w:space="0" w:color="auto"/>
              <w:right w:val="single" w:sz="4" w:space="0" w:color="auto"/>
            </w:tcBorders>
            <w:shd w:val="clear" w:color="000000" w:fill="FFFFFF"/>
            <w:hideMark/>
          </w:tcPr>
          <w:p w:rsidR="008711D5" w:rsidRPr="00FD65F2" w:rsidRDefault="008711D5" w:rsidP="008711D5">
            <w:pPr>
              <w:jc w:val="right"/>
              <w:rPr>
                <w:rFonts w:ascii="Arial" w:hAnsi="Arial" w:cs="Arial"/>
                <w:b/>
                <w:sz w:val="17"/>
                <w:szCs w:val="17"/>
              </w:rPr>
            </w:pPr>
            <w:r w:rsidRPr="00FD65F2">
              <w:rPr>
                <w:rFonts w:ascii="Arial" w:hAnsi="Arial" w:cs="Arial"/>
                <w:b/>
                <w:sz w:val="17"/>
                <w:szCs w:val="17"/>
              </w:rPr>
              <w:t xml:space="preserve"> 1,039,991,878 </w:t>
            </w:r>
          </w:p>
        </w:tc>
        <w:tc>
          <w:tcPr>
            <w:tcW w:w="2078" w:type="dxa"/>
            <w:tcBorders>
              <w:top w:val="nil"/>
              <w:left w:val="nil"/>
              <w:bottom w:val="single" w:sz="4" w:space="0" w:color="auto"/>
              <w:right w:val="single" w:sz="4" w:space="0" w:color="auto"/>
            </w:tcBorders>
            <w:shd w:val="clear" w:color="000000" w:fill="FFFFFF"/>
            <w:hideMark/>
          </w:tcPr>
          <w:p w:rsidR="008711D5" w:rsidRPr="00FD65F2" w:rsidRDefault="008711D5" w:rsidP="008711D5">
            <w:pPr>
              <w:jc w:val="right"/>
              <w:rPr>
                <w:rFonts w:ascii="Arial" w:hAnsi="Arial" w:cs="Arial"/>
                <w:b/>
                <w:sz w:val="17"/>
                <w:szCs w:val="17"/>
              </w:rPr>
            </w:pPr>
            <w:r w:rsidRPr="00FD65F2">
              <w:rPr>
                <w:rFonts w:ascii="Arial" w:hAnsi="Arial" w:cs="Arial"/>
                <w:b/>
                <w:sz w:val="17"/>
                <w:szCs w:val="17"/>
              </w:rPr>
              <w:t xml:space="preserve"> 1,879,741,346 </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Depreciación</w:t>
            </w:r>
          </w:p>
        </w:tc>
        <w:tc>
          <w:tcPr>
            <w:tcW w:w="2078" w:type="dxa"/>
            <w:tcBorders>
              <w:top w:val="nil"/>
              <w:left w:val="nil"/>
              <w:bottom w:val="single" w:sz="4" w:space="0" w:color="auto"/>
              <w:right w:val="single" w:sz="4" w:space="0" w:color="auto"/>
            </w:tcBorders>
            <w:shd w:val="clear" w:color="auto" w:fill="auto"/>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-263,986,242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-276,745,296 </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Amortización</w:t>
            </w:r>
          </w:p>
        </w:tc>
        <w:tc>
          <w:tcPr>
            <w:tcW w:w="2078" w:type="dxa"/>
            <w:tcBorders>
              <w:top w:val="nil"/>
              <w:left w:val="nil"/>
              <w:bottom w:val="single" w:sz="4" w:space="0" w:color="auto"/>
              <w:right w:val="single" w:sz="4" w:space="0" w:color="auto"/>
            </w:tcBorders>
            <w:shd w:val="clear" w:color="auto" w:fill="auto"/>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-164,772,150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-81,201,738 </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Incrementos en las provisiones</w:t>
            </w:r>
          </w:p>
        </w:tc>
        <w:tc>
          <w:tcPr>
            <w:tcW w:w="2078" w:type="dxa"/>
            <w:tcBorders>
              <w:top w:val="nil"/>
              <w:left w:val="nil"/>
              <w:bottom w:val="single" w:sz="4" w:space="0" w:color="auto"/>
              <w:right w:val="single" w:sz="4" w:space="0" w:color="auto"/>
            </w:tcBorders>
            <w:shd w:val="clear" w:color="auto" w:fill="auto"/>
          </w:tcPr>
          <w:p w:rsidR="008711D5" w:rsidRPr="00FD65F2" w:rsidRDefault="008711D5" w:rsidP="008711D5">
            <w:pPr>
              <w:jc w:val="right"/>
              <w:rPr>
                <w:rFonts w:ascii="Arial" w:hAnsi="Arial" w:cs="Arial"/>
                <w:sz w:val="17"/>
                <w:szCs w:val="17"/>
              </w:rPr>
            </w:pPr>
            <w:r w:rsidRPr="00FD65F2">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 -   </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Incremento en inversiones producido por revaluación</w:t>
            </w:r>
          </w:p>
        </w:tc>
        <w:tc>
          <w:tcPr>
            <w:tcW w:w="2078" w:type="dxa"/>
            <w:tcBorders>
              <w:top w:val="nil"/>
              <w:left w:val="nil"/>
              <w:bottom w:val="single" w:sz="4" w:space="0" w:color="auto"/>
              <w:right w:val="single" w:sz="4" w:space="0" w:color="auto"/>
            </w:tcBorders>
            <w:shd w:val="clear" w:color="auto" w:fill="auto"/>
          </w:tcPr>
          <w:p w:rsidR="008711D5" w:rsidRPr="00FD65F2" w:rsidRDefault="008711D5" w:rsidP="008711D5">
            <w:pPr>
              <w:jc w:val="right"/>
              <w:rPr>
                <w:rFonts w:ascii="Arial" w:hAnsi="Arial" w:cs="Arial"/>
                <w:sz w:val="17"/>
                <w:szCs w:val="17"/>
              </w:rPr>
            </w:pPr>
            <w:r w:rsidRPr="00FD65F2">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 -   </w:t>
            </w:r>
          </w:p>
        </w:tc>
      </w:tr>
      <w:tr w:rsidR="008711D5" w:rsidRPr="00FD65F2" w:rsidTr="008711D5">
        <w:trPr>
          <w:trHeight w:val="222"/>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Ganancia/pérdida en venta de propiedad, planta y equipo</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Incremento en activo circulante</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Incremento en la hacienda pública</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 1,893,230,647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 2,353,807,610 </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ind w:firstLineChars="100" w:firstLine="170"/>
              <w:rPr>
                <w:rFonts w:ascii="Arial" w:hAnsi="Arial" w:cs="Arial"/>
                <w:color w:val="000000"/>
                <w:sz w:val="17"/>
                <w:szCs w:val="17"/>
              </w:rPr>
            </w:pPr>
            <w:r w:rsidRPr="00FD65F2">
              <w:rPr>
                <w:rFonts w:ascii="Arial" w:hAnsi="Arial" w:cs="Arial"/>
                <w:color w:val="000000"/>
                <w:sz w:val="17"/>
                <w:szCs w:val="17"/>
              </w:rPr>
              <w:t xml:space="preserve">Partidas extraordinarias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-465,033,667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-1,796,427,000 </w:t>
            </w:r>
          </w:p>
        </w:tc>
      </w:tr>
      <w:tr w:rsidR="008711D5" w:rsidRPr="00FD65F2" w:rsidTr="008711D5">
        <w:trPr>
          <w:trHeight w:val="253"/>
        </w:trPr>
        <w:tc>
          <w:tcPr>
            <w:tcW w:w="5082" w:type="dxa"/>
            <w:tcBorders>
              <w:top w:val="nil"/>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rPr>
                <w:rFonts w:ascii="Arial" w:hAnsi="Arial" w:cs="Arial"/>
                <w:color w:val="000000"/>
                <w:sz w:val="17"/>
                <w:szCs w:val="17"/>
              </w:rPr>
            </w:pPr>
            <w:r w:rsidRPr="00FD65F2">
              <w:rPr>
                <w:rFonts w:ascii="Arial" w:hAnsi="Arial" w:cs="Arial"/>
                <w:color w:val="000000"/>
                <w:sz w:val="17"/>
                <w:szCs w:val="17"/>
              </w:rPr>
              <w:t xml:space="preserve">    Otros ingresos y beneficios</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 40,553,290 </w:t>
            </w:r>
          </w:p>
        </w:tc>
        <w:tc>
          <w:tcPr>
            <w:tcW w:w="2078" w:type="dxa"/>
            <w:tcBorders>
              <w:top w:val="nil"/>
              <w:left w:val="nil"/>
              <w:bottom w:val="single" w:sz="4" w:space="0" w:color="auto"/>
              <w:right w:val="single" w:sz="4" w:space="0" w:color="auto"/>
            </w:tcBorders>
            <w:shd w:val="clear" w:color="000000" w:fill="FFFFFF"/>
          </w:tcPr>
          <w:p w:rsidR="008711D5" w:rsidRPr="00FD65F2" w:rsidRDefault="008711D5" w:rsidP="008711D5">
            <w:pPr>
              <w:jc w:val="right"/>
              <w:rPr>
                <w:rFonts w:ascii="Arial" w:hAnsi="Arial" w:cs="Arial"/>
                <w:sz w:val="17"/>
                <w:szCs w:val="17"/>
              </w:rPr>
            </w:pPr>
            <w:r w:rsidRPr="00FD65F2">
              <w:rPr>
                <w:rFonts w:ascii="Arial" w:hAnsi="Arial" w:cs="Arial"/>
                <w:sz w:val="17"/>
                <w:szCs w:val="17"/>
              </w:rPr>
              <w:t xml:space="preserve"> 1,680,307,770 </w:t>
            </w:r>
          </w:p>
        </w:tc>
      </w:tr>
      <w:tr w:rsidR="008711D5" w:rsidRPr="00FD65F2" w:rsidTr="008711D5">
        <w:trPr>
          <w:trHeight w:val="253"/>
        </w:trPr>
        <w:tc>
          <w:tcPr>
            <w:tcW w:w="5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11D5" w:rsidRPr="00FD65F2" w:rsidRDefault="008711D5" w:rsidP="008711D5">
            <w:pPr>
              <w:rPr>
                <w:rFonts w:ascii="Arial" w:hAnsi="Arial" w:cs="Arial"/>
                <w:b/>
                <w:bCs/>
                <w:color w:val="000000"/>
                <w:sz w:val="17"/>
                <w:szCs w:val="17"/>
              </w:rPr>
            </w:pPr>
            <w:r w:rsidRPr="00FD65F2">
              <w:rPr>
                <w:rFonts w:ascii="Arial" w:hAnsi="Arial" w:cs="Arial"/>
                <w:b/>
                <w:bCs/>
                <w:color w:val="000000"/>
                <w:sz w:val="17"/>
                <w:szCs w:val="17"/>
              </w:rPr>
              <w:t>Flujos de Efectivo Netos de las Actividades de Operación</w:t>
            </w:r>
          </w:p>
        </w:tc>
        <w:tc>
          <w:tcPr>
            <w:tcW w:w="2078" w:type="dxa"/>
            <w:tcBorders>
              <w:top w:val="single" w:sz="4" w:space="0" w:color="auto"/>
              <w:left w:val="nil"/>
              <w:bottom w:val="single" w:sz="4" w:space="0" w:color="auto"/>
              <w:right w:val="single" w:sz="4" w:space="0" w:color="auto"/>
            </w:tcBorders>
            <w:shd w:val="clear" w:color="000000" w:fill="FFFFFF"/>
            <w:hideMark/>
          </w:tcPr>
          <w:p w:rsidR="008711D5" w:rsidRPr="00FD65F2" w:rsidRDefault="008711D5" w:rsidP="008711D5">
            <w:pPr>
              <w:jc w:val="right"/>
              <w:rPr>
                <w:rFonts w:ascii="Arial" w:hAnsi="Arial" w:cs="Arial"/>
                <w:b/>
                <w:sz w:val="17"/>
                <w:szCs w:val="17"/>
              </w:rPr>
            </w:pPr>
            <w:r w:rsidRPr="00FD65F2">
              <w:rPr>
                <w:rFonts w:ascii="Arial" w:hAnsi="Arial" w:cs="Arial"/>
                <w:b/>
                <w:sz w:val="17"/>
                <w:szCs w:val="17"/>
              </w:rPr>
              <w:t xml:space="preserve"> 63,400,916 </w:t>
            </w:r>
          </w:p>
        </w:tc>
        <w:tc>
          <w:tcPr>
            <w:tcW w:w="2078" w:type="dxa"/>
            <w:tcBorders>
              <w:top w:val="single" w:sz="4" w:space="0" w:color="auto"/>
              <w:left w:val="nil"/>
              <w:bottom w:val="single" w:sz="4" w:space="0" w:color="auto"/>
              <w:right w:val="single" w:sz="4" w:space="0" w:color="auto"/>
            </w:tcBorders>
            <w:shd w:val="clear" w:color="000000" w:fill="FFFFFF"/>
            <w:hideMark/>
          </w:tcPr>
          <w:p w:rsidR="008711D5" w:rsidRPr="00FD65F2" w:rsidRDefault="008711D5" w:rsidP="008711D5">
            <w:pPr>
              <w:jc w:val="right"/>
              <w:rPr>
                <w:rFonts w:ascii="Arial" w:hAnsi="Arial" w:cs="Arial"/>
                <w:b/>
                <w:sz w:val="17"/>
                <w:szCs w:val="17"/>
              </w:rPr>
            </w:pPr>
            <w:r w:rsidRPr="00FD65F2">
              <w:rPr>
                <w:rFonts w:ascii="Arial" w:hAnsi="Arial" w:cs="Arial"/>
                <w:b/>
                <w:sz w:val="17"/>
                <w:szCs w:val="17"/>
              </w:rPr>
              <w:t xml:space="preserve">-394,670,506 </w:t>
            </w:r>
          </w:p>
        </w:tc>
      </w:tr>
    </w:tbl>
    <w:p w:rsidR="00D00509" w:rsidRPr="00D00509" w:rsidRDefault="00D00509" w:rsidP="004B105F">
      <w:pPr>
        <w:spacing w:before="80" w:line="250" w:lineRule="exact"/>
        <w:ind w:left="851" w:right="-1559"/>
        <w:rPr>
          <w:rFonts w:ascii="Arial" w:eastAsia="Calibri" w:hAnsi="Arial" w:cs="Arial"/>
          <w:spacing w:val="-1"/>
          <w:sz w:val="17"/>
          <w:szCs w:val="17"/>
        </w:rPr>
      </w:pPr>
    </w:p>
    <w:p w:rsidR="00C14511" w:rsidRDefault="00C14511" w:rsidP="00C14511">
      <w:pPr>
        <w:pStyle w:val="Prrafodelista"/>
        <w:autoSpaceDE w:val="0"/>
        <w:autoSpaceDN w:val="0"/>
        <w:adjustRightInd w:val="0"/>
        <w:spacing w:before="240" w:after="120"/>
        <w:ind w:left="3402"/>
        <w:jc w:val="both"/>
        <w:rPr>
          <w:rFonts w:ascii="Arial" w:hAnsi="Arial" w:cs="Arial"/>
          <w:b/>
          <w:sz w:val="17"/>
          <w:szCs w:val="17"/>
          <w:highlight w:val="yellow"/>
        </w:rPr>
      </w:pPr>
    </w:p>
    <w:p w:rsidR="006930B0" w:rsidRPr="004B105F" w:rsidRDefault="006930B0" w:rsidP="00C14511">
      <w:pPr>
        <w:pStyle w:val="Prrafodelista"/>
        <w:autoSpaceDE w:val="0"/>
        <w:autoSpaceDN w:val="0"/>
        <w:adjustRightInd w:val="0"/>
        <w:spacing w:before="240" w:after="120"/>
        <w:ind w:left="3402"/>
        <w:jc w:val="both"/>
        <w:rPr>
          <w:rFonts w:ascii="Arial" w:hAnsi="Arial" w:cs="Arial"/>
          <w:b/>
          <w:sz w:val="17"/>
          <w:szCs w:val="17"/>
          <w:highlight w:val="yellow"/>
        </w:rPr>
      </w:pPr>
    </w:p>
    <w:p w:rsidR="004B105F" w:rsidRPr="004B105F" w:rsidRDefault="004B105F" w:rsidP="00C14511">
      <w:pPr>
        <w:pStyle w:val="Prrafodelista"/>
        <w:autoSpaceDE w:val="0"/>
        <w:autoSpaceDN w:val="0"/>
        <w:adjustRightInd w:val="0"/>
        <w:spacing w:before="240" w:after="120"/>
        <w:ind w:left="3402"/>
        <w:jc w:val="both"/>
        <w:rPr>
          <w:rFonts w:ascii="Arial" w:hAnsi="Arial" w:cs="Arial"/>
          <w:b/>
          <w:sz w:val="17"/>
          <w:szCs w:val="17"/>
          <w:highlight w:val="yellow"/>
        </w:rPr>
      </w:pPr>
    </w:p>
    <w:p w:rsidR="004B105F" w:rsidRPr="004B105F" w:rsidRDefault="004B105F" w:rsidP="00C14511">
      <w:pPr>
        <w:pStyle w:val="Prrafodelista"/>
        <w:autoSpaceDE w:val="0"/>
        <w:autoSpaceDN w:val="0"/>
        <w:adjustRightInd w:val="0"/>
        <w:spacing w:before="240" w:after="120"/>
        <w:ind w:left="3402"/>
        <w:jc w:val="both"/>
        <w:rPr>
          <w:rFonts w:ascii="Arial" w:hAnsi="Arial" w:cs="Arial"/>
          <w:b/>
          <w:sz w:val="17"/>
          <w:szCs w:val="17"/>
          <w:highlight w:val="yellow"/>
        </w:rPr>
      </w:pPr>
    </w:p>
    <w:p w:rsidR="00C14511" w:rsidRDefault="00C14511"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Default="00D00509" w:rsidP="00F71E5C">
      <w:pPr>
        <w:pStyle w:val="Prrafodelista"/>
        <w:autoSpaceDE w:val="0"/>
        <w:autoSpaceDN w:val="0"/>
        <w:adjustRightInd w:val="0"/>
        <w:spacing w:before="240" w:after="120"/>
        <w:ind w:left="1080"/>
        <w:jc w:val="both"/>
        <w:rPr>
          <w:rFonts w:ascii="Arial" w:hAnsi="Arial" w:cs="Arial"/>
          <w:b/>
          <w:sz w:val="17"/>
          <w:szCs w:val="17"/>
          <w:highlight w:val="yellow"/>
        </w:rPr>
      </w:pPr>
    </w:p>
    <w:p w:rsidR="00D00509" w:rsidRPr="00DD7A5F" w:rsidRDefault="00D00509" w:rsidP="00DD7A5F">
      <w:pPr>
        <w:autoSpaceDE w:val="0"/>
        <w:autoSpaceDN w:val="0"/>
        <w:adjustRightInd w:val="0"/>
        <w:spacing w:before="240" w:after="120"/>
        <w:jc w:val="both"/>
        <w:rPr>
          <w:rFonts w:ascii="Arial" w:hAnsi="Arial" w:cs="Arial"/>
          <w:b/>
          <w:sz w:val="17"/>
          <w:szCs w:val="17"/>
          <w:highlight w:val="yellow"/>
        </w:rPr>
      </w:pPr>
    </w:p>
    <w:p w:rsidR="00FD04B3" w:rsidRDefault="00FD04B3" w:rsidP="00FD04B3">
      <w:pPr>
        <w:pStyle w:val="Prrafodelista"/>
        <w:numPr>
          <w:ilvl w:val="0"/>
          <w:numId w:val="10"/>
        </w:numPr>
        <w:autoSpaceDE w:val="0"/>
        <w:autoSpaceDN w:val="0"/>
        <w:adjustRightInd w:val="0"/>
        <w:spacing w:before="240" w:after="120"/>
        <w:ind w:left="851" w:firstLine="0"/>
        <w:jc w:val="both"/>
        <w:rPr>
          <w:rFonts w:ascii="Arial" w:hAnsi="Arial" w:cs="Arial"/>
          <w:b/>
          <w:sz w:val="17"/>
          <w:szCs w:val="17"/>
        </w:rPr>
      </w:pPr>
      <w:r w:rsidRPr="004B105F">
        <w:rPr>
          <w:rFonts w:ascii="Arial" w:hAnsi="Arial" w:cs="Arial"/>
          <w:b/>
          <w:sz w:val="17"/>
          <w:szCs w:val="17"/>
        </w:rPr>
        <w:lastRenderedPageBreak/>
        <w:t>Conciliación entre los Ingresos Presupuestarios y Contables, Egresos Presupuestarios y los Gastos Contables</w:t>
      </w:r>
    </w:p>
    <w:p w:rsidR="004B105F" w:rsidRPr="004B105F" w:rsidRDefault="004B105F" w:rsidP="004B105F">
      <w:pPr>
        <w:pStyle w:val="Prrafodelista"/>
        <w:autoSpaceDE w:val="0"/>
        <w:autoSpaceDN w:val="0"/>
        <w:adjustRightInd w:val="0"/>
        <w:spacing w:before="240" w:after="120"/>
        <w:ind w:left="851"/>
        <w:jc w:val="both"/>
        <w:rPr>
          <w:rFonts w:ascii="Arial" w:hAnsi="Arial" w:cs="Arial"/>
          <w:b/>
          <w:sz w:val="17"/>
          <w:szCs w:val="17"/>
        </w:rPr>
      </w:pPr>
    </w:p>
    <w:p w:rsidR="00C14511" w:rsidRDefault="00FD04B3" w:rsidP="004B105F">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4B105F" w:rsidRPr="004B105F" w:rsidRDefault="004B105F" w:rsidP="004B105F">
      <w:pPr>
        <w:spacing w:before="80" w:line="250" w:lineRule="exact"/>
        <w:ind w:left="851"/>
        <w:jc w:val="both"/>
        <w:rPr>
          <w:rFonts w:ascii="Arial" w:eastAsia="Calibri" w:hAnsi="Arial" w:cs="Arial"/>
          <w:spacing w:val="-1"/>
          <w:sz w:val="17"/>
          <w:szCs w:val="17"/>
        </w:rPr>
      </w:pPr>
    </w:p>
    <w:tbl>
      <w:tblPr>
        <w:tblpPr w:leftFromText="141" w:rightFromText="141" w:vertAnchor="text" w:horzAnchor="margin" w:tblpXSpec="center" w:tblpY="18"/>
        <w:tblW w:w="9260" w:type="dxa"/>
        <w:tblCellMar>
          <w:left w:w="70" w:type="dxa"/>
          <w:right w:w="70" w:type="dxa"/>
        </w:tblCellMar>
        <w:tblLook w:val="04A0" w:firstRow="1" w:lastRow="0" w:firstColumn="1" w:lastColumn="0" w:noHBand="0" w:noVBand="1"/>
      </w:tblPr>
      <w:tblGrid>
        <w:gridCol w:w="4900"/>
        <w:gridCol w:w="2180"/>
        <w:gridCol w:w="2180"/>
      </w:tblGrid>
      <w:tr w:rsidR="004710C4" w:rsidRPr="00BA272D" w:rsidTr="004710C4">
        <w:trPr>
          <w:trHeight w:val="240"/>
        </w:trPr>
        <w:tc>
          <w:tcPr>
            <w:tcW w:w="9260" w:type="dxa"/>
            <w:gridSpan w:val="3"/>
            <w:tcBorders>
              <w:top w:val="nil"/>
              <w:left w:val="nil"/>
              <w:bottom w:val="nil"/>
              <w:right w:val="nil"/>
            </w:tcBorders>
            <w:shd w:val="clear" w:color="000000" w:fill="FFFFFF"/>
            <w:vAlign w:val="center"/>
            <w:hideMark/>
          </w:tcPr>
          <w:p w:rsidR="004710C4" w:rsidRDefault="004710C4" w:rsidP="004710C4">
            <w:pPr>
              <w:ind w:left="-212"/>
              <w:rPr>
                <w:rFonts w:ascii="Arial" w:hAnsi="Arial" w:cs="Arial"/>
                <w:b/>
                <w:bCs/>
                <w:color w:val="000000"/>
                <w:sz w:val="17"/>
                <w:szCs w:val="17"/>
              </w:rPr>
            </w:pPr>
            <w:r w:rsidRPr="00BA272D">
              <w:rPr>
                <w:rFonts w:ascii="Arial" w:hAnsi="Arial" w:cs="Arial"/>
                <w:b/>
                <w:bCs/>
                <w:color w:val="000000"/>
                <w:sz w:val="17"/>
                <w:szCs w:val="17"/>
              </w:rPr>
              <w:t>A</w:t>
            </w:r>
            <w:r>
              <w:rPr>
                <w:rFonts w:ascii="Arial" w:hAnsi="Arial" w:cs="Arial"/>
                <w:b/>
                <w:bCs/>
                <w:color w:val="000000"/>
                <w:sz w:val="17"/>
                <w:szCs w:val="17"/>
              </w:rPr>
              <w:t>A</w:t>
            </w:r>
            <w:r w:rsidRPr="00BA272D">
              <w:rPr>
                <w:rFonts w:ascii="Arial" w:hAnsi="Arial" w:cs="Arial"/>
                <w:b/>
                <w:bCs/>
                <w:color w:val="000000"/>
                <w:sz w:val="17"/>
                <w:szCs w:val="17"/>
              </w:rPr>
              <w:t>. Conciliación entre los Ingresos Presupuestarios y Contables:</w:t>
            </w:r>
          </w:p>
          <w:p w:rsidR="004B105F" w:rsidRDefault="004B105F" w:rsidP="004710C4">
            <w:pPr>
              <w:ind w:left="-212"/>
              <w:rPr>
                <w:rFonts w:ascii="Arial" w:hAnsi="Arial" w:cs="Arial"/>
                <w:b/>
                <w:bCs/>
                <w:color w:val="000000"/>
                <w:sz w:val="17"/>
                <w:szCs w:val="17"/>
              </w:rPr>
            </w:pPr>
          </w:p>
          <w:p w:rsidR="004710C4" w:rsidRPr="00BA272D" w:rsidRDefault="004710C4" w:rsidP="004710C4">
            <w:pPr>
              <w:ind w:left="-212"/>
              <w:rPr>
                <w:rFonts w:ascii="Arial" w:hAnsi="Arial" w:cs="Arial"/>
                <w:b/>
                <w:bCs/>
                <w:color w:val="000000"/>
                <w:sz w:val="17"/>
                <w:szCs w:val="17"/>
              </w:rPr>
            </w:pPr>
            <w:r w:rsidRPr="00BA272D">
              <w:rPr>
                <w:rFonts w:ascii="Arial" w:eastAsia="Calibri" w:hAnsi="Arial" w:cs="Arial"/>
                <w:b/>
                <w:spacing w:val="-1"/>
                <w:sz w:val="17"/>
                <w:szCs w:val="17"/>
              </w:rPr>
              <w:t>(</w:t>
            </w:r>
            <w:r>
              <w:rPr>
                <w:rFonts w:ascii="Arial" w:eastAsia="Calibri" w:hAnsi="Arial" w:cs="Arial"/>
                <w:b/>
                <w:spacing w:val="-1"/>
                <w:sz w:val="17"/>
                <w:szCs w:val="17"/>
              </w:rPr>
              <w:t xml:space="preserve">                                                                                             (</w:t>
            </w:r>
            <w:r w:rsidRPr="00BA272D">
              <w:rPr>
                <w:rFonts w:ascii="Arial" w:eastAsia="Calibri" w:hAnsi="Arial" w:cs="Arial"/>
                <w:b/>
                <w:spacing w:val="-1"/>
                <w:sz w:val="17"/>
                <w:szCs w:val="17"/>
              </w:rPr>
              <w:t>Pesos)</w:t>
            </w:r>
          </w:p>
        </w:tc>
      </w:tr>
      <w:tr w:rsidR="004710C4" w:rsidRPr="00BA272D" w:rsidTr="004710C4">
        <w:trPr>
          <w:trHeight w:val="240"/>
        </w:trPr>
        <w:tc>
          <w:tcPr>
            <w:tcW w:w="4900" w:type="dxa"/>
            <w:tcBorders>
              <w:top w:val="nil"/>
              <w:left w:val="nil"/>
              <w:bottom w:val="nil"/>
              <w:right w:val="nil"/>
            </w:tcBorders>
            <w:shd w:val="clear" w:color="000000" w:fill="FFFFFF"/>
            <w:vAlign w:val="center"/>
          </w:tcPr>
          <w:p w:rsidR="004710C4" w:rsidRPr="00BA272D" w:rsidRDefault="004710C4" w:rsidP="004710C4">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4710C4" w:rsidRPr="00BA272D" w:rsidRDefault="004710C4" w:rsidP="004710C4">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4710C4" w:rsidRPr="00BA272D" w:rsidRDefault="004710C4" w:rsidP="004710C4">
            <w:pPr>
              <w:rPr>
                <w:rFonts w:ascii="Arial" w:hAnsi="Arial" w:cs="Arial"/>
                <w:b/>
                <w:bCs/>
                <w:color w:val="000000"/>
                <w:sz w:val="17"/>
                <w:szCs w:val="17"/>
              </w:rPr>
            </w:pPr>
          </w:p>
        </w:tc>
      </w:tr>
      <w:tr w:rsidR="004710C4" w:rsidRPr="00BA272D"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1.Total de Ingresos Presupuestarios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right"/>
              <w:rPr>
                <w:rFonts w:ascii="Arial" w:hAnsi="Arial" w:cs="Arial"/>
                <w:b/>
                <w:bCs/>
                <w:color w:val="000000"/>
                <w:sz w:val="17"/>
                <w:szCs w:val="17"/>
              </w:rPr>
            </w:pPr>
            <w:r w:rsidRPr="00BA272D">
              <w:rPr>
                <w:rFonts w:ascii="Arial" w:hAnsi="Arial" w:cs="Arial"/>
                <w:b/>
                <w:bCs/>
                <w:color w:val="000000"/>
                <w:sz w:val="17"/>
                <w:szCs w:val="17"/>
              </w:rPr>
              <w:t>39,597,022,085</w:t>
            </w:r>
          </w:p>
        </w:tc>
      </w:tr>
      <w:tr w:rsidR="004710C4" w:rsidRPr="00BA272D" w:rsidTr="004710C4">
        <w:trPr>
          <w:trHeight w:val="240"/>
        </w:trPr>
        <w:tc>
          <w:tcPr>
            <w:tcW w:w="4900" w:type="dxa"/>
            <w:tcBorders>
              <w:top w:val="nil"/>
              <w:left w:val="nil"/>
              <w:bottom w:val="nil"/>
              <w:right w:val="nil"/>
            </w:tcBorders>
            <w:shd w:val="clear" w:color="000000" w:fill="FFFFF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 </w:t>
            </w:r>
          </w:p>
        </w:tc>
      </w:tr>
      <w:tr w:rsidR="004710C4" w:rsidRPr="00BA272D"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right"/>
              <w:rPr>
                <w:rFonts w:ascii="Arial" w:hAnsi="Arial" w:cs="Arial"/>
                <w:b/>
                <w:bCs/>
                <w:color w:val="000000"/>
                <w:sz w:val="17"/>
                <w:szCs w:val="17"/>
              </w:rPr>
            </w:pPr>
            <w:r>
              <w:rPr>
                <w:rFonts w:ascii="Arial" w:hAnsi="Arial" w:cs="Arial"/>
                <w:b/>
                <w:bCs/>
                <w:color w:val="000000"/>
                <w:sz w:val="17"/>
                <w:szCs w:val="17"/>
              </w:rPr>
              <w:t>724,234,874</w:t>
            </w: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2.1 Ingresos Financieros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hideMark/>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 </w:t>
            </w: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2.2 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48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2.3 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2.4 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2.5 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Pr>
                <w:rFonts w:ascii="Arial" w:hAnsi="Arial" w:cs="Arial"/>
                <w:bCs/>
                <w:color w:val="000000"/>
                <w:sz w:val="17"/>
                <w:szCs w:val="17"/>
              </w:rPr>
              <w:t>724,234,874</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2.6 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r>
      <w:tr w:rsidR="004710C4" w:rsidRPr="00BA272D"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right"/>
              <w:rPr>
                <w:rFonts w:ascii="Arial" w:hAnsi="Arial" w:cs="Arial"/>
                <w:b/>
                <w:bCs/>
                <w:color w:val="000000"/>
                <w:sz w:val="17"/>
                <w:szCs w:val="17"/>
              </w:rPr>
            </w:pPr>
            <w:r w:rsidRPr="00BA272D">
              <w:rPr>
                <w:rFonts w:ascii="Arial" w:hAnsi="Arial" w:cs="Arial"/>
                <w:b/>
                <w:bCs/>
                <w:color w:val="000000"/>
                <w:sz w:val="17"/>
                <w:szCs w:val="17"/>
              </w:rPr>
              <w:t>-</w:t>
            </w: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3.1 Aprovechamientos Patrimoniales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3.2 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710C4" w:rsidRPr="00BA272D" w:rsidRDefault="004710C4" w:rsidP="004710C4">
            <w:pPr>
              <w:ind w:firstLineChars="100" w:firstLine="170"/>
              <w:rPr>
                <w:rFonts w:ascii="Arial" w:hAnsi="Arial" w:cs="Arial"/>
                <w:color w:val="000000"/>
                <w:sz w:val="17"/>
                <w:szCs w:val="17"/>
              </w:rPr>
            </w:pPr>
            <w:r w:rsidRPr="00BA272D">
              <w:rPr>
                <w:rFonts w:ascii="Arial" w:hAnsi="Arial" w:cs="Arial"/>
                <w:color w:val="000000"/>
                <w:sz w:val="17"/>
                <w:szCs w:val="17"/>
              </w:rPr>
              <w:t>3.3 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r w:rsidRPr="00BA272D">
              <w:rPr>
                <w:rFonts w:ascii="Arial" w:hAnsi="Arial" w:cs="Arial"/>
                <w:bCs/>
                <w:color w:val="000000"/>
                <w:sz w:val="17"/>
                <w:szCs w:val="17"/>
              </w:rPr>
              <w:t>-</w:t>
            </w:r>
          </w:p>
        </w:tc>
        <w:tc>
          <w:tcPr>
            <w:tcW w:w="2180" w:type="dxa"/>
            <w:tcBorders>
              <w:top w:val="nil"/>
              <w:left w:val="nil"/>
              <w:bottom w:val="single" w:sz="4" w:space="0" w:color="auto"/>
              <w:right w:val="single" w:sz="4" w:space="0" w:color="auto"/>
            </w:tcBorders>
            <w:shd w:val="clear" w:color="000000" w:fill="FFFFFF"/>
            <w:vAlign w:val="center"/>
          </w:tcPr>
          <w:p w:rsidR="004710C4" w:rsidRPr="00BA272D" w:rsidRDefault="004710C4" w:rsidP="004710C4">
            <w:pPr>
              <w:jc w:val="right"/>
              <w:rPr>
                <w:rFonts w:ascii="Arial" w:hAnsi="Arial" w:cs="Arial"/>
                <w:bCs/>
                <w:color w:val="000000"/>
                <w:sz w:val="17"/>
                <w:szCs w:val="17"/>
              </w:rPr>
            </w:pPr>
          </w:p>
        </w:tc>
      </w:tr>
      <w:tr w:rsidR="004710C4" w:rsidRPr="00BA272D" w:rsidTr="004710C4">
        <w:trPr>
          <w:trHeight w:val="240"/>
        </w:trPr>
        <w:tc>
          <w:tcPr>
            <w:tcW w:w="490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r>
      <w:tr w:rsidR="004710C4" w:rsidRPr="00BA272D"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rPr>
                <w:rFonts w:ascii="Arial" w:hAnsi="Arial" w:cs="Arial"/>
                <w:b/>
                <w:bCs/>
                <w:color w:val="000000"/>
                <w:sz w:val="17"/>
                <w:szCs w:val="17"/>
              </w:rPr>
            </w:pPr>
            <w:r w:rsidRPr="00BA272D">
              <w:rPr>
                <w:rFonts w:ascii="Arial" w:hAnsi="Arial" w:cs="Arial"/>
                <w:b/>
                <w:bCs/>
                <w:color w:val="000000"/>
                <w:sz w:val="17"/>
                <w:szCs w:val="17"/>
              </w:rPr>
              <w:t xml:space="preserve">4. Total de Ingresos Contables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710C4" w:rsidRPr="00BA272D" w:rsidRDefault="004710C4" w:rsidP="004710C4">
            <w:pPr>
              <w:jc w:val="right"/>
              <w:rPr>
                <w:rFonts w:ascii="Arial" w:hAnsi="Arial" w:cs="Arial"/>
                <w:b/>
                <w:bCs/>
                <w:color w:val="000000"/>
                <w:sz w:val="17"/>
                <w:szCs w:val="17"/>
              </w:rPr>
            </w:pPr>
            <w:r>
              <w:rPr>
                <w:rFonts w:ascii="Arial" w:hAnsi="Arial" w:cs="Arial"/>
                <w:b/>
                <w:bCs/>
                <w:color w:val="000000"/>
                <w:sz w:val="17"/>
                <w:szCs w:val="17"/>
              </w:rPr>
              <w:t>40,321,256,959</w:t>
            </w:r>
          </w:p>
        </w:tc>
      </w:tr>
      <w:tr w:rsidR="004710C4" w:rsidRPr="00BA272D" w:rsidTr="004710C4">
        <w:trPr>
          <w:trHeight w:val="240"/>
        </w:trPr>
        <w:tc>
          <w:tcPr>
            <w:tcW w:w="490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r>
      <w:tr w:rsidR="004710C4" w:rsidRPr="00BA272D" w:rsidTr="004710C4">
        <w:trPr>
          <w:trHeight w:val="240"/>
        </w:trPr>
        <w:tc>
          <w:tcPr>
            <w:tcW w:w="490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4710C4" w:rsidRPr="00BA272D" w:rsidRDefault="004710C4" w:rsidP="004710C4">
            <w:pPr>
              <w:jc w:val="center"/>
              <w:rPr>
                <w:rFonts w:ascii="Arial" w:hAnsi="Arial" w:cs="Arial"/>
                <w:color w:val="000000"/>
                <w:sz w:val="17"/>
                <w:szCs w:val="17"/>
              </w:rPr>
            </w:pPr>
            <w:r w:rsidRPr="00BA272D">
              <w:rPr>
                <w:rFonts w:ascii="Arial" w:hAnsi="Arial" w:cs="Arial"/>
                <w:color w:val="000000"/>
                <w:sz w:val="17"/>
                <w:szCs w:val="17"/>
              </w:rPr>
              <w:t> </w:t>
            </w:r>
          </w:p>
        </w:tc>
      </w:tr>
    </w:tbl>
    <w:p w:rsidR="004710C4" w:rsidRDefault="004710C4" w:rsidP="00FD04B3">
      <w:pPr>
        <w:pStyle w:val="Prrafodelista"/>
        <w:autoSpaceDE w:val="0"/>
        <w:autoSpaceDN w:val="0"/>
        <w:adjustRightInd w:val="0"/>
        <w:spacing w:before="240" w:after="120"/>
        <w:ind w:left="851"/>
        <w:jc w:val="both"/>
        <w:rPr>
          <w:rFonts w:ascii="Arial" w:hAnsi="Arial" w:cs="Arial"/>
          <w:b/>
          <w:sz w:val="17"/>
          <w:szCs w:val="17"/>
        </w:rPr>
      </w:pPr>
    </w:p>
    <w:p w:rsidR="00584FD0" w:rsidRDefault="00584FD0" w:rsidP="00F71E5C">
      <w:pPr>
        <w:rPr>
          <w:rFonts w:ascii="Arial" w:hAnsi="Arial" w:cs="Arial"/>
          <w:sz w:val="17"/>
          <w:szCs w:val="17"/>
        </w:rPr>
      </w:pPr>
    </w:p>
    <w:p w:rsidR="004B105F" w:rsidRDefault="004B105F" w:rsidP="00F71E5C">
      <w:pPr>
        <w:rPr>
          <w:rFonts w:ascii="Arial" w:hAnsi="Arial" w:cs="Arial"/>
          <w:sz w:val="17"/>
          <w:szCs w:val="17"/>
        </w:rPr>
      </w:pPr>
    </w:p>
    <w:p w:rsidR="004B105F" w:rsidRPr="00BA272D" w:rsidRDefault="004B105F" w:rsidP="00F71E5C">
      <w:pPr>
        <w:rPr>
          <w:rFonts w:ascii="Arial" w:hAnsi="Arial" w:cs="Arial"/>
          <w:sz w:val="17"/>
          <w:szCs w:val="17"/>
        </w:rPr>
      </w:pPr>
    </w:p>
    <w:tbl>
      <w:tblPr>
        <w:tblW w:w="9714" w:type="dxa"/>
        <w:jc w:val="center"/>
        <w:tblCellMar>
          <w:left w:w="70" w:type="dxa"/>
          <w:right w:w="70" w:type="dxa"/>
        </w:tblCellMar>
        <w:tblLook w:val="04A0" w:firstRow="1" w:lastRow="0" w:firstColumn="1" w:lastColumn="0" w:noHBand="0" w:noVBand="1"/>
      </w:tblPr>
      <w:tblGrid>
        <w:gridCol w:w="5665"/>
        <w:gridCol w:w="2126"/>
        <w:gridCol w:w="1923"/>
      </w:tblGrid>
      <w:tr w:rsidR="00F71E5C" w:rsidRPr="00BA272D" w:rsidTr="00F71E5C">
        <w:trPr>
          <w:trHeight w:val="240"/>
          <w:jc w:val="center"/>
        </w:trPr>
        <w:tc>
          <w:tcPr>
            <w:tcW w:w="9714" w:type="dxa"/>
            <w:gridSpan w:val="3"/>
            <w:tcBorders>
              <w:top w:val="nil"/>
              <w:left w:val="nil"/>
              <w:bottom w:val="nil"/>
              <w:right w:val="nil"/>
            </w:tcBorders>
            <w:shd w:val="clear" w:color="000000" w:fill="FFFFFF"/>
            <w:vAlign w:val="center"/>
            <w:hideMark/>
          </w:tcPr>
          <w:p w:rsidR="004B105F" w:rsidRPr="004B105F" w:rsidRDefault="004B105F" w:rsidP="00F71E5C">
            <w:pPr>
              <w:rPr>
                <w:rFonts w:ascii="Arial" w:hAnsi="Arial" w:cs="Arial"/>
                <w:b/>
                <w:bCs/>
                <w:color w:val="000000"/>
                <w:sz w:val="17"/>
                <w:szCs w:val="17"/>
                <w:highlight w:val="yellow"/>
              </w:rPr>
            </w:pPr>
          </w:p>
          <w:p w:rsidR="00F71E5C" w:rsidRPr="004B105F" w:rsidRDefault="00F71E5C" w:rsidP="00F71E5C">
            <w:pPr>
              <w:rPr>
                <w:rFonts w:ascii="Arial" w:hAnsi="Arial" w:cs="Arial"/>
                <w:b/>
                <w:bCs/>
                <w:color w:val="000000"/>
                <w:sz w:val="17"/>
                <w:szCs w:val="17"/>
                <w:highlight w:val="yellow"/>
              </w:rPr>
            </w:pPr>
            <w:r w:rsidRPr="006930B0">
              <w:rPr>
                <w:rFonts w:ascii="Arial" w:hAnsi="Arial" w:cs="Arial"/>
                <w:b/>
                <w:bCs/>
                <w:color w:val="000000"/>
                <w:sz w:val="17"/>
                <w:szCs w:val="17"/>
              </w:rPr>
              <w:lastRenderedPageBreak/>
              <w:t>B. Conciliación entre los Egresos Presupuestarios y los Gastos Contables:</w:t>
            </w:r>
          </w:p>
        </w:tc>
      </w:tr>
      <w:tr w:rsidR="00F71E5C" w:rsidRPr="00BA272D"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lastRenderedPageBreak/>
              <w:t>1. Total de Egresos Presupuestarios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F71E5C" w:rsidP="00A80CF5">
            <w:pPr>
              <w:jc w:val="right"/>
              <w:rPr>
                <w:rFonts w:ascii="Arial" w:hAnsi="Arial" w:cs="Arial"/>
                <w:b/>
                <w:bCs/>
                <w:color w:val="000000"/>
                <w:sz w:val="17"/>
                <w:szCs w:val="17"/>
                <w:highlight w:val="yellow"/>
              </w:rPr>
            </w:pP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71E5C" w:rsidRPr="00BA272D" w:rsidRDefault="009A47F0" w:rsidP="00A80CF5">
            <w:pPr>
              <w:jc w:val="right"/>
              <w:rPr>
                <w:rFonts w:ascii="Arial" w:hAnsi="Arial" w:cs="Arial"/>
                <w:b/>
                <w:bCs/>
                <w:color w:val="000000"/>
                <w:sz w:val="17"/>
                <w:szCs w:val="17"/>
                <w:highlight w:val="yellow"/>
              </w:rPr>
            </w:pPr>
            <w:r w:rsidRPr="00BA272D">
              <w:rPr>
                <w:rFonts w:ascii="Arial" w:hAnsi="Arial" w:cs="Arial"/>
                <w:b/>
                <w:bCs/>
                <w:color w:val="000000"/>
                <w:sz w:val="17"/>
                <w:szCs w:val="17"/>
              </w:rPr>
              <w:t>40,246,544,501</w:t>
            </w:r>
          </w:p>
        </w:tc>
      </w:tr>
      <w:tr w:rsidR="00F71E5C" w:rsidRPr="00BA272D" w:rsidTr="00F71E5C">
        <w:trPr>
          <w:trHeight w:val="240"/>
          <w:jc w:val="center"/>
        </w:trPr>
        <w:tc>
          <w:tcPr>
            <w:tcW w:w="5665"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 </w:t>
            </w:r>
          </w:p>
        </w:tc>
        <w:tc>
          <w:tcPr>
            <w:tcW w:w="2126" w:type="dxa"/>
            <w:tcBorders>
              <w:top w:val="nil"/>
              <w:left w:val="nil"/>
              <w:bottom w:val="nil"/>
              <w:right w:val="nil"/>
            </w:tcBorders>
            <w:shd w:val="clear" w:color="000000" w:fill="FFFFFF"/>
            <w:vAlign w:val="center"/>
          </w:tcPr>
          <w:p w:rsidR="00F71E5C" w:rsidRPr="00BA272D" w:rsidRDefault="00F71E5C" w:rsidP="00A80CF5">
            <w:pPr>
              <w:jc w:val="right"/>
              <w:rPr>
                <w:rFonts w:ascii="Arial" w:hAnsi="Arial" w:cs="Arial"/>
                <w:b/>
                <w:bCs/>
                <w:color w:val="000000"/>
                <w:sz w:val="17"/>
                <w:szCs w:val="17"/>
                <w:highlight w:val="yellow"/>
              </w:rPr>
            </w:pPr>
          </w:p>
        </w:tc>
        <w:tc>
          <w:tcPr>
            <w:tcW w:w="1923" w:type="dxa"/>
            <w:tcBorders>
              <w:top w:val="nil"/>
              <w:left w:val="nil"/>
              <w:bottom w:val="nil"/>
              <w:right w:val="nil"/>
            </w:tcBorders>
            <w:shd w:val="clear" w:color="000000" w:fill="FFFFFF"/>
            <w:vAlign w:val="center"/>
          </w:tcPr>
          <w:p w:rsidR="00F71E5C" w:rsidRPr="00BA272D" w:rsidRDefault="00F71E5C" w:rsidP="00A80CF5">
            <w:pPr>
              <w:jc w:val="right"/>
              <w:rPr>
                <w:rFonts w:ascii="Arial" w:hAnsi="Arial" w:cs="Arial"/>
                <w:b/>
                <w:bCs/>
                <w:color w:val="000000"/>
                <w:sz w:val="17"/>
                <w:szCs w:val="17"/>
                <w:highlight w:val="yellow"/>
              </w:rPr>
            </w:pPr>
          </w:p>
        </w:tc>
      </w:tr>
      <w:tr w:rsidR="00F71E5C" w:rsidRPr="00BA272D"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2. Menos Egresos Presupuestarios No Contables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rsidR="00F71E5C" w:rsidRPr="00BA272D" w:rsidRDefault="00F71E5C" w:rsidP="00A80CF5">
            <w:pPr>
              <w:jc w:val="right"/>
              <w:rPr>
                <w:rFonts w:ascii="Arial" w:hAnsi="Arial" w:cs="Arial"/>
                <w:sz w:val="17"/>
                <w:szCs w:val="17"/>
                <w:highlight w:val="yellow"/>
              </w:rPr>
            </w:pP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tcPr>
          <w:p w:rsidR="00F71E5C" w:rsidRPr="00BA272D" w:rsidRDefault="009A47F0" w:rsidP="00A80CF5">
            <w:pPr>
              <w:jc w:val="right"/>
              <w:rPr>
                <w:rFonts w:ascii="Arial" w:hAnsi="Arial" w:cs="Arial"/>
                <w:b/>
                <w:bCs/>
                <w:color w:val="000000"/>
                <w:sz w:val="17"/>
                <w:szCs w:val="17"/>
                <w:highlight w:val="yellow"/>
              </w:rPr>
            </w:pPr>
            <w:r w:rsidRPr="00BA272D">
              <w:rPr>
                <w:rFonts w:ascii="Arial" w:hAnsi="Arial" w:cs="Arial"/>
                <w:b/>
                <w:bCs/>
                <w:color w:val="000000"/>
                <w:sz w:val="17"/>
                <w:szCs w:val="17"/>
              </w:rPr>
              <w:t>362,409,738</w:t>
            </w: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2.1 Materias Primas y Materiales de Producción y Comercialización</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2.2 Materiales y Suministros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2.3 Mobiliario y Equipo de Administración</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49,360,535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126"/>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2.4 Mobiliario y Equipo Educacional y Recreativo</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3,158,555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2.5 Equipo e Instrumental Médico y de Laboratorio</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1,799,694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2.6 Vehículos y Equipo de Transporte</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71,705,323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2.7 Equipo de Defensa y Seguridad</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1,236,927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2.8 Maquinaria, Otros Equipos y Herramientas</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33,709,446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2.9 Activos Biológicos</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2.10 Bienes Inmuebles</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1,500,000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2.11 Activos Intangibles</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6,336,041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2.12 Obra Pública en Bienes de Dominio Público</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7,123,978 </w:t>
            </w:r>
          </w:p>
        </w:tc>
        <w:tc>
          <w:tcPr>
            <w:tcW w:w="1923"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2.13 Obra Pública en Bienes Propios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2.14 Acciones y Participaciones de Capital</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2.15 Compra de Títulos y Valores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2.16 Concesión de Préstamos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BE0B57" w:rsidRPr="00BA272D" w:rsidTr="00F71E5C">
        <w:trPr>
          <w:trHeight w:val="28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BE0B57" w:rsidRPr="00BA272D" w:rsidRDefault="00BE0B57" w:rsidP="00BE0B57">
            <w:pPr>
              <w:ind w:firstLineChars="100" w:firstLine="170"/>
              <w:rPr>
                <w:rFonts w:ascii="Arial" w:hAnsi="Arial" w:cs="Arial"/>
                <w:color w:val="000000"/>
                <w:sz w:val="17"/>
                <w:szCs w:val="17"/>
              </w:rPr>
            </w:pPr>
            <w:r w:rsidRPr="00BA272D">
              <w:rPr>
                <w:rFonts w:ascii="Arial" w:hAnsi="Arial" w:cs="Arial"/>
                <w:color w:val="000000"/>
                <w:sz w:val="17"/>
                <w:szCs w:val="17"/>
              </w:rPr>
              <w:t>2.17 Inversiones en Fideicomisos, Mandatos y Otros Análogos</w:t>
            </w:r>
          </w:p>
        </w:tc>
        <w:tc>
          <w:tcPr>
            <w:tcW w:w="2126" w:type="dxa"/>
            <w:tcBorders>
              <w:top w:val="nil"/>
              <w:left w:val="nil"/>
              <w:bottom w:val="single" w:sz="4" w:space="0" w:color="auto"/>
              <w:right w:val="single" w:sz="4" w:space="0" w:color="auto"/>
            </w:tcBorders>
            <w:shd w:val="clear" w:color="000000" w:fill="FFFFFF"/>
          </w:tcPr>
          <w:p w:rsidR="00BE0B57" w:rsidRPr="00BA272D" w:rsidRDefault="009A47F0" w:rsidP="009A47F0">
            <w:pPr>
              <w:jc w:val="right"/>
              <w:rPr>
                <w:rFonts w:ascii="Arial" w:hAnsi="Arial" w:cs="Arial"/>
                <w:sz w:val="17"/>
                <w:szCs w:val="17"/>
              </w:rPr>
            </w:pPr>
            <w:r w:rsidRPr="00BA272D">
              <w:rPr>
                <w:rFonts w:ascii="Arial" w:hAnsi="Arial" w:cs="Arial"/>
                <w:sz w:val="17"/>
                <w:szCs w:val="17"/>
              </w:rPr>
              <w:t>21,707,090</w:t>
            </w:r>
          </w:p>
        </w:tc>
        <w:tc>
          <w:tcPr>
            <w:tcW w:w="1923" w:type="dxa"/>
            <w:tcBorders>
              <w:top w:val="nil"/>
              <w:left w:val="nil"/>
              <w:bottom w:val="single" w:sz="4" w:space="0" w:color="auto"/>
              <w:right w:val="single" w:sz="4" w:space="0" w:color="auto"/>
            </w:tcBorders>
            <w:shd w:val="clear" w:color="000000" w:fill="FFFFFF"/>
          </w:tcPr>
          <w:p w:rsidR="00BE0B57" w:rsidRPr="00BA272D" w:rsidRDefault="00BE0B57" w:rsidP="00BE0B57">
            <w:pPr>
              <w:jc w:val="right"/>
              <w:rPr>
                <w:rFonts w:ascii="Arial" w:hAnsi="Arial" w:cs="Arial"/>
                <w:sz w:val="17"/>
                <w:szCs w:val="17"/>
              </w:rPr>
            </w:pPr>
          </w:p>
        </w:tc>
      </w:tr>
      <w:tr w:rsidR="00BE0B57"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BE0B57" w:rsidRPr="00BA272D" w:rsidRDefault="00BE0B57" w:rsidP="00BE0B57">
            <w:pPr>
              <w:ind w:firstLineChars="100" w:firstLine="170"/>
              <w:rPr>
                <w:rFonts w:ascii="Arial" w:hAnsi="Arial" w:cs="Arial"/>
                <w:color w:val="000000"/>
                <w:sz w:val="17"/>
                <w:szCs w:val="17"/>
              </w:rPr>
            </w:pPr>
            <w:r w:rsidRPr="00BA272D">
              <w:rPr>
                <w:rFonts w:ascii="Arial" w:hAnsi="Arial" w:cs="Arial"/>
                <w:color w:val="000000"/>
                <w:sz w:val="17"/>
                <w:szCs w:val="17"/>
              </w:rPr>
              <w:t>2.18 Provisiones para Contingencias y Otras Erogaciones Especiales</w:t>
            </w:r>
          </w:p>
        </w:tc>
        <w:tc>
          <w:tcPr>
            <w:tcW w:w="2126" w:type="dxa"/>
            <w:tcBorders>
              <w:top w:val="nil"/>
              <w:left w:val="nil"/>
              <w:bottom w:val="single" w:sz="4" w:space="0" w:color="auto"/>
              <w:right w:val="single" w:sz="4" w:space="0" w:color="auto"/>
            </w:tcBorders>
            <w:shd w:val="clear" w:color="000000" w:fill="FFFFFF"/>
          </w:tcPr>
          <w:p w:rsidR="00BE0B57" w:rsidRPr="00BA272D" w:rsidRDefault="009A47F0" w:rsidP="009A47F0">
            <w:pPr>
              <w:jc w:val="right"/>
              <w:rPr>
                <w:rFonts w:ascii="Arial" w:hAnsi="Arial" w:cs="Arial"/>
                <w:sz w:val="17"/>
                <w:szCs w:val="17"/>
              </w:rPr>
            </w:pPr>
            <w:r w:rsidRPr="00BA272D">
              <w:rPr>
                <w:rFonts w:ascii="Arial" w:hAnsi="Arial" w:cs="Arial"/>
                <w:sz w:val="17"/>
                <w:szCs w:val="17"/>
              </w:rPr>
              <w:t>-</w:t>
            </w:r>
            <w:r w:rsidR="00BE0B57" w:rsidRPr="00BA272D">
              <w:rPr>
                <w:rFonts w:ascii="Arial" w:hAnsi="Arial" w:cs="Arial"/>
                <w:sz w:val="17"/>
                <w:szCs w:val="17"/>
              </w:rPr>
              <w:t xml:space="preserve"> </w:t>
            </w:r>
          </w:p>
        </w:tc>
        <w:tc>
          <w:tcPr>
            <w:tcW w:w="1923" w:type="dxa"/>
            <w:tcBorders>
              <w:top w:val="nil"/>
              <w:left w:val="nil"/>
              <w:bottom w:val="single" w:sz="4" w:space="0" w:color="auto"/>
              <w:right w:val="single" w:sz="4" w:space="0" w:color="auto"/>
            </w:tcBorders>
            <w:shd w:val="clear" w:color="000000" w:fill="FFFFFF"/>
          </w:tcPr>
          <w:p w:rsidR="00BE0B57" w:rsidRPr="00BA272D" w:rsidRDefault="00BE0B57" w:rsidP="00BE0B57">
            <w:pPr>
              <w:jc w:val="right"/>
              <w:rPr>
                <w:rFonts w:ascii="Arial" w:hAnsi="Arial" w:cs="Arial"/>
                <w:sz w:val="17"/>
                <w:szCs w:val="17"/>
              </w:rPr>
            </w:pPr>
          </w:p>
        </w:tc>
      </w:tr>
      <w:tr w:rsidR="00BE0B57"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BE0B57" w:rsidRPr="00BA272D" w:rsidRDefault="00BE0B57" w:rsidP="00BE0B57">
            <w:pPr>
              <w:ind w:firstLineChars="100" w:firstLine="170"/>
              <w:rPr>
                <w:rFonts w:ascii="Arial" w:hAnsi="Arial" w:cs="Arial"/>
                <w:color w:val="000000"/>
                <w:sz w:val="17"/>
                <w:szCs w:val="17"/>
              </w:rPr>
            </w:pPr>
            <w:r w:rsidRPr="00BA272D">
              <w:rPr>
                <w:rFonts w:ascii="Arial" w:hAnsi="Arial" w:cs="Arial"/>
                <w:color w:val="000000"/>
                <w:sz w:val="17"/>
                <w:szCs w:val="17"/>
              </w:rPr>
              <w:t>2.19 Amortización de la Deuda Pública</w:t>
            </w:r>
          </w:p>
        </w:tc>
        <w:tc>
          <w:tcPr>
            <w:tcW w:w="2126" w:type="dxa"/>
            <w:tcBorders>
              <w:top w:val="nil"/>
              <w:left w:val="nil"/>
              <w:bottom w:val="single" w:sz="4" w:space="0" w:color="auto"/>
              <w:right w:val="single" w:sz="4" w:space="0" w:color="auto"/>
            </w:tcBorders>
            <w:shd w:val="clear" w:color="auto" w:fill="auto"/>
          </w:tcPr>
          <w:p w:rsidR="00BE0B57" w:rsidRPr="00BA272D" w:rsidRDefault="00BE0B57" w:rsidP="009A47F0">
            <w:pPr>
              <w:jc w:val="right"/>
              <w:rPr>
                <w:rFonts w:ascii="Arial" w:hAnsi="Arial" w:cs="Arial"/>
                <w:sz w:val="17"/>
                <w:szCs w:val="17"/>
              </w:rPr>
            </w:pPr>
            <w:r w:rsidRPr="00BA272D">
              <w:rPr>
                <w:rFonts w:ascii="Arial" w:hAnsi="Arial" w:cs="Arial"/>
                <w:sz w:val="17"/>
                <w:szCs w:val="17"/>
              </w:rPr>
              <w:t xml:space="preserve"> 164,772,150 </w:t>
            </w:r>
          </w:p>
        </w:tc>
        <w:tc>
          <w:tcPr>
            <w:tcW w:w="1923" w:type="dxa"/>
            <w:tcBorders>
              <w:top w:val="nil"/>
              <w:left w:val="nil"/>
              <w:bottom w:val="single" w:sz="4" w:space="0" w:color="auto"/>
              <w:right w:val="single" w:sz="4" w:space="0" w:color="auto"/>
            </w:tcBorders>
            <w:shd w:val="clear" w:color="000000" w:fill="FFFFFF"/>
          </w:tcPr>
          <w:p w:rsidR="00BE0B57" w:rsidRPr="00BA272D" w:rsidRDefault="00BE0B57" w:rsidP="00BE0B57">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2.20 Adeudos de Ejercicios Fiscales Anteriores (ADEFAS)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F71E5C"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2.21 Otros Egresos Presupuestarios No Contables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000000" w:fill="FFFFFF"/>
          </w:tcPr>
          <w:p w:rsidR="00F71E5C" w:rsidRPr="00BA272D" w:rsidRDefault="00F71E5C" w:rsidP="00A80CF5">
            <w:pPr>
              <w:jc w:val="right"/>
              <w:rPr>
                <w:rFonts w:ascii="Arial" w:hAnsi="Arial" w:cs="Arial"/>
                <w:sz w:val="17"/>
                <w:szCs w:val="17"/>
              </w:rPr>
            </w:pPr>
          </w:p>
        </w:tc>
      </w:tr>
      <w:tr w:rsidR="00F71E5C" w:rsidRPr="00BA272D" w:rsidTr="00F71E5C">
        <w:trPr>
          <w:trHeight w:val="240"/>
          <w:jc w:val="center"/>
        </w:trPr>
        <w:tc>
          <w:tcPr>
            <w:tcW w:w="5665" w:type="dxa"/>
            <w:tcBorders>
              <w:top w:val="nil"/>
              <w:left w:val="nil"/>
              <w:bottom w:val="nil"/>
              <w:right w:val="nil"/>
            </w:tcBorders>
            <w:shd w:val="clear" w:color="000000" w:fill="FFFFFF"/>
            <w:vAlign w:val="center"/>
            <w:hideMark/>
          </w:tcPr>
          <w:p w:rsidR="00F71E5C" w:rsidRPr="00BA272D" w:rsidRDefault="00F71E5C" w:rsidP="00F71E5C">
            <w:pPr>
              <w:jc w:val="center"/>
              <w:rPr>
                <w:rFonts w:ascii="Arial" w:hAnsi="Arial" w:cs="Arial"/>
                <w:color w:val="000000"/>
                <w:sz w:val="17"/>
                <w:szCs w:val="17"/>
              </w:rPr>
            </w:pPr>
            <w:r w:rsidRPr="00BA272D">
              <w:rPr>
                <w:rFonts w:ascii="Arial" w:hAnsi="Arial" w:cs="Arial"/>
                <w:color w:val="000000"/>
                <w:sz w:val="17"/>
                <w:szCs w:val="17"/>
              </w:rPr>
              <w:t> </w:t>
            </w:r>
          </w:p>
        </w:tc>
        <w:tc>
          <w:tcPr>
            <w:tcW w:w="2126" w:type="dxa"/>
            <w:tcBorders>
              <w:top w:val="nil"/>
              <w:left w:val="nil"/>
              <w:bottom w:val="nil"/>
              <w:right w:val="nil"/>
            </w:tcBorders>
            <w:shd w:val="clear" w:color="000000" w:fill="FFFFFF"/>
            <w:vAlign w:val="center"/>
            <w:hideMark/>
          </w:tcPr>
          <w:p w:rsidR="00F71E5C" w:rsidRPr="00BA272D" w:rsidRDefault="00F71E5C" w:rsidP="009A47F0">
            <w:pPr>
              <w:jc w:val="right"/>
              <w:rPr>
                <w:rFonts w:ascii="Arial" w:hAnsi="Arial" w:cs="Arial"/>
                <w:color w:val="000000"/>
                <w:sz w:val="17"/>
                <w:szCs w:val="17"/>
              </w:rPr>
            </w:pPr>
            <w:r w:rsidRPr="00BA272D">
              <w:rPr>
                <w:rFonts w:ascii="Arial" w:hAnsi="Arial" w:cs="Arial"/>
                <w:color w:val="000000"/>
                <w:sz w:val="17"/>
                <w:szCs w:val="17"/>
              </w:rPr>
              <w:t> </w:t>
            </w:r>
          </w:p>
        </w:tc>
        <w:tc>
          <w:tcPr>
            <w:tcW w:w="1923" w:type="dxa"/>
            <w:tcBorders>
              <w:top w:val="nil"/>
              <w:left w:val="nil"/>
              <w:bottom w:val="nil"/>
              <w:right w:val="nil"/>
            </w:tcBorders>
            <w:shd w:val="clear" w:color="000000" w:fill="FFFFFF"/>
            <w:vAlign w:val="center"/>
            <w:hideMark/>
          </w:tcPr>
          <w:p w:rsidR="00F71E5C" w:rsidRPr="00BA272D" w:rsidRDefault="00F71E5C" w:rsidP="00A80CF5">
            <w:pPr>
              <w:jc w:val="right"/>
              <w:rPr>
                <w:rFonts w:ascii="Arial" w:hAnsi="Arial" w:cs="Arial"/>
                <w:color w:val="000000"/>
                <w:sz w:val="17"/>
                <w:szCs w:val="17"/>
              </w:rPr>
            </w:pPr>
            <w:r w:rsidRPr="00BA272D">
              <w:rPr>
                <w:rFonts w:ascii="Arial" w:hAnsi="Arial" w:cs="Arial"/>
                <w:color w:val="000000"/>
                <w:sz w:val="17"/>
                <w:szCs w:val="17"/>
              </w:rPr>
              <w:t> </w:t>
            </w:r>
          </w:p>
        </w:tc>
      </w:tr>
      <w:tr w:rsidR="00F71E5C" w:rsidRPr="00BA272D"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3. Más Gasto Contables No Presupuestarios</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hideMark/>
          </w:tcPr>
          <w:p w:rsidR="00F71E5C" w:rsidRPr="00BA272D" w:rsidRDefault="00F71E5C" w:rsidP="009A47F0">
            <w:pPr>
              <w:jc w:val="right"/>
              <w:rPr>
                <w:rFonts w:ascii="Arial" w:hAnsi="Arial" w:cs="Arial"/>
                <w:sz w:val="17"/>
                <w:szCs w:val="17"/>
              </w:rPr>
            </w:pP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hideMark/>
          </w:tcPr>
          <w:p w:rsidR="00F71E5C" w:rsidRPr="00BA272D" w:rsidRDefault="004B105F" w:rsidP="00A80CF5">
            <w:pPr>
              <w:jc w:val="right"/>
              <w:rPr>
                <w:rFonts w:ascii="Arial" w:hAnsi="Arial" w:cs="Arial"/>
                <w:b/>
                <w:sz w:val="17"/>
                <w:szCs w:val="17"/>
              </w:rPr>
            </w:pPr>
            <w:r>
              <w:rPr>
                <w:rFonts w:ascii="Arial" w:hAnsi="Arial" w:cs="Arial"/>
                <w:b/>
                <w:sz w:val="17"/>
                <w:szCs w:val="17"/>
              </w:rPr>
              <w:t>829,140,124</w:t>
            </w:r>
          </w:p>
        </w:tc>
      </w:tr>
      <w:tr w:rsidR="00F71E5C" w:rsidRPr="00BA272D" w:rsidTr="00F71E5C">
        <w:trPr>
          <w:trHeight w:val="217"/>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3.1 Estimaciones, Depreciaciones, Deterioros, Obsolescencia y Amortizaciones</w:t>
            </w:r>
          </w:p>
        </w:tc>
        <w:tc>
          <w:tcPr>
            <w:tcW w:w="2126" w:type="dxa"/>
            <w:tcBorders>
              <w:top w:val="nil"/>
              <w:left w:val="nil"/>
              <w:bottom w:val="single" w:sz="4" w:space="0" w:color="auto"/>
              <w:right w:val="single" w:sz="4" w:space="0" w:color="auto"/>
            </w:tcBorders>
            <w:shd w:val="clear" w:color="000000" w:fill="FFFFFF"/>
          </w:tcPr>
          <w:p w:rsidR="00F71E5C" w:rsidRPr="00BA272D" w:rsidRDefault="009A47F0" w:rsidP="009A47F0">
            <w:pPr>
              <w:jc w:val="right"/>
              <w:rPr>
                <w:rFonts w:ascii="Arial" w:hAnsi="Arial" w:cs="Arial"/>
                <w:sz w:val="17"/>
                <w:szCs w:val="17"/>
              </w:rPr>
            </w:pPr>
            <w:r w:rsidRPr="00BA272D">
              <w:rPr>
                <w:rFonts w:ascii="Arial" w:hAnsi="Arial" w:cs="Arial"/>
                <w:sz w:val="17"/>
                <w:szCs w:val="17"/>
              </w:rPr>
              <w:t>263,986,242</w:t>
            </w:r>
          </w:p>
        </w:tc>
        <w:tc>
          <w:tcPr>
            <w:tcW w:w="1923" w:type="dxa"/>
            <w:tcBorders>
              <w:top w:val="nil"/>
              <w:left w:val="nil"/>
              <w:bottom w:val="single" w:sz="4" w:space="0" w:color="auto"/>
              <w:right w:val="single" w:sz="4" w:space="0" w:color="auto"/>
            </w:tcBorders>
            <w:shd w:val="clear" w:color="auto" w:fill="auto"/>
            <w:hideMark/>
          </w:tcPr>
          <w:p w:rsidR="00F71E5C" w:rsidRPr="00BA272D" w:rsidRDefault="00F71E5C" w:rsidP="00A80CF5">
            <w:pPr>
              <w:jc w:val="right"/>
              <w:rPr>
                <w:rFonts w:ascii="Arial" w:hAnsi="Arial" w:cs="Arial"/>
                <w:sz w:val="17"/>
                <w:szCs w:val="17"/>
              </w:rPr>
            </w:pPr>
          </w:p>
        </w:tc>
      </w:tr>
      <w:tr w:rsidR="00F71E5C" w:rsidRPr="00BA272D" w:rsidTr="00F71E5C">
        <w:trPr>
          <w:trHeight w:val="9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3.2 Provisiones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rsidR="00F71E5C" w:rsidRPr="00BA272D" w:rsidRDefault="00F71E5C" w:rsidP="00A80CF5">
            <w:pPr>
              <w:jc w:val="right"/>
              <w:rPr>
                <w:rFonts w:ascii="Arial" w:hAnsi="Arial" w:cs="Arial"/>
                <w:sz w:val="17"/>
                <w:szCs w:val="17"/>
              </w:rPr>
            </w:pPr>
          </w:p>
        </w:tc>
      </w:tr>
      <w:tr w:rsidR="00F71E5C" w:rsidRPr="00BA272D" w:rsidTr="00F71E5C">
        <w:trPr>
          <w:trHeight w:val="53"/>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3.3 Disminución de Inventarios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rsidR="00F71E5C" w:rsidRPr="00BA272D" w:rsidRDefault="00F71E5C" w:rsidP="00A80CF5">
            <w:pPr>
              <w:jc w:val="right"/>
              <w:rPr>
                <w:rFonts w:ascii="Arial" w:hAnsi="Arial" w:cs="Arial"/>
                <w:sz w:val="17"/>
                <w:szCs w:val="17"/>
              </w:rPr>
            </w:pPr>
          </w:p>
        </w:tc>
      </w:tr>
      <w:tr w:rsidR="00F71E5C" w:rsidRPr="00BA272D" w:rsidTr="00F71E5C">
        <w:trPr>
          <w:trHeight w:val="301"/>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3.4 Aumento por Insuficiencia de Estimaciones por Pérdida o Deterioro u Obsolescencia</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rsidR="00F71E5C" w:rsidRPr="00BA272D" w:rsidRDefault="00F71E5C" w:rsidP="00A80CF5">
            <w:pPr>
              <w:jc w:val="right"/>
              <w:rPr>
                <w:rFonts w:ascii="Arial" w:hAnsi="Arial" w:cs="Arial"/>
                <w:sz w:val="17"/>
                <w:szCs w:val="17"/>
              </w:rPr>
            </w:pPr>
          </w:p>
        </w:tc>
      </w:tr>
      <w:tr w:rsidR="00F71E5C" w:rsidRPr="00BA272D" w:rsidTr="00F71E5C">
        <w:trPr>
          <w:trHeight w:val="135"/>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E5C" w:rsidRPr="00BA272D" w:rsidRDefault="00F71E5C" w:rsidP="00F71E5C">
            <w:pPr>
              <w:ind w:firstLineChars="100" w:firstLine="170"/>
              <w:rPr>
                <w:rFonts w:ascii="Arial" w:hAnsi="Arial" w:cs="Arial"/>
                <w:color w:val="000000"/>
                <w:sz w:val="17"/>
                <w:szCs w:val="17"/>
              </w:rPr>
            </w:pPr>
            <w:r w:rsidRPr="00BA272D">
              <w:rPr>
                <w:rFonts w:ascii="Arial" w:hAnsi="Arial" w:cs="Arial"/>
                <w:color w:val="000000"/>
                <w:sz w:val="17"/>
                <w:szCs w:val="17"/>
              </w:rPr>
              <w:t>3.5 Aumento por Insuficiencia de Provisiones</w:t>
            </w:r>
          </w:p>
        </w:tc>
        <w:tc>
          <w:tcPr>
            <w:tcW w:w="2126" w:type="dxa"/>
            <w:tcBorders>
              <w:top w:val="nil"/>
              <w:left w:val="nil"/>
              <w:bottom w:val="single" w:sz="4" w:space="0" w:color="auto"/>
              <w:right w:val="single" w:sz="4" w:space="0" w:color="auto"/>
            </w:tcBorders>
            <w:shd w:val="clear" w:color="000000" w:fill="FFFFFF"/>
          </w:tcPr>
          <w:p w:rsidR="00F71E5C" w:rsidRPr="00BA272D" w:rsidRDefault="00F71E5C" w:rsidP="009A47F0">
            <w:pPr>
              <w:jc w:val="right"/>
              <w:rPr>
                <w:rFonts w:ascii="Arial" w:hAnsi="Arial" w:cs="Arial"/>
                <w:sz w:val="17"/>
                <w:szCs w:val="17"/>
              </w:rPr>
            </w:pPr>
            <w:r w:rsidRPr="00BA272D">
              <w:rPr>
                <w:rFonts w:ascii="Arial" w:hAnsi="Arial" w:cs="Arial"/>
                <w:sz w:val="17"/>
                <w:szCs w:val="17"/>
              </w:rPr>
              <w:t xml:space="preserve"> -   </w:t>
            </w:r>
          </w:p>
        </w:tc>
        <w:tc>
          <w:tcPr>
            <w:tcW w:w="1923" w:type="dxa"/>
            <w:tcBorders>
              <w:top w:val="nil"/>
              <w:left w:val="nil"/>
              <w:bottom w:val="single" w:sz="4" w:space="0" w:color="auto"/>
              <w:right w:val="single" w:sz="4" w:space="0" w:color="auto"/>
            </w:tcBorders>
            <w:shd w:val="clear" w:color="auto" w:fill="auto"/>
            <w:hideMark/>
          </w:tcPr>
          <w:p w:rsidR="00F71E5C" w:rsidRPr="00BA272D" w:rsidRDefault="00F71E5C" w:rsidP="00A80CF5">
            <w:pPr>
              <w:jc w:val="right"/>
              <w:rPr>
                <w:rFonts w:ascii="Arial" w:hAnsi="Arial" w:cs="Arial"/>
                <w:sz w:val="17"/>
                <w:szCs w:val="17"/>
              </w:rPr>
            </w:pPr>
          </w:p>
        </w:tc>
      </w:tr>
      <w:tr w:rsidR="009A47F0" w:rsidRPr="00BA272D" w:rsidTr="00F71E5C">
        <w:trPr>
          <w:trHeight w:val="240"/>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3.6 Otros Gastos</w:t>
            </w:r>
          </w:p>
        </w:tc>
        <w:tc>
          <w:tcPr>
            <w:tcW w:w="2126" w:type="dxa"/>
            <w:tcBorders>
              <w:top w:val="nil"/>
              <w:left w:val="nil"/>
              <w:bottom w:val="single" w:sz="4" w:space="0" w:color="auto"/>
              <w:right w:val="single" w:sz="4" w:space="0" w:color="auto"/>
            </w:tcBorders>
            <w:shd w:val="clear" w:color="000000" w:fill="FFFFFF"/>
          </w:tcPr>
          <w:p w:rsidR="009A47F0" w:rsidRPr="00BA272D" w:rsidRDefault="009A47F0" w:rsidP="009A47F0">
            <w:pPr>
              <w:jc w:val="right"/>
              <w:rPr>
                <w:rFonts w:ascii="Arial" w:hAnsi="Arial" w:cs="Arial"/>
                <w:sz w:val="17"/>
                <w:szCs w:val="17"/>
              </w:rPr>
            </w:pPr>
            <w:r w:rsidRPr="00BA272D">
              <w:rPr>
                <w:rFonts w:ascii="Arial" w:hAnsi="Arial" w:cs="Arial"/>
                <w:sz w:val="17"/>
                <w:szCs w:val="17"/>
              </w:rPr>
              <w:t xml:space="preserve"> 98,822,650 </w:t>
            </w:r>
          </w:p>
        </w:tc>
        <w:tc>
          <w:tcPr>
            <w:tcW w:w="1923" w:type="dxa"/>
            <w:tcBorders>
              <w:top w:val="nil"/>
              <w:left w:val="nil"/>
              <w:bottom w:val="single" w:sz="4" w:space="0" w:color="auto"/>
              <w:right w:val="single" w:sz="4" w:space="0" w:color="auto"/>
            </w:tcBorders>
            <w:shd w:val="clear" w:color="auto" w:fill="auto"/>
            <w:hideMark/>
          </w:tcPr>
          <w:p w:rsidR="009A47F0" w:rsidRPr="00BA272D" w:rsidRDefault="009A47F0" w:rsidP="009A47F0">
            <w:pPr>
              <w:jc w:val="right"/>
              <w:rPr>
                <w:rFonts w:ascii="Arial" w:hAnsi="Arial" w:cs="Arial"/>
                <w:sz w:val="17"/>
                <w:szCs w:val="17"/>
              </w:rPr>
            </w:pPr>
          </w:p>
        </w:tc>
      </w:tr>
      <w:tr w:rsidR="009A47F0" w:rsidRPr="00BA272D" w:rsidTr="00F71E5C">
        <w:trPr>
          <w:trHeight w:val="99"/>
          <w:jc w:val="center"/>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9A47F0" w:rsidRPr="00BA272D" w:rsidRDefault="009A47F0" w:rsidP="009A47F0">
            <w:pPr>
              <w:ind w:firstLineChars="100" w:firstLine="170"/>
              <w:rPr>
                <w:rFonts w:ascii="Arial" w:hAnsi="Arial" w:cs="Arial"/>
                <w:color w:val="000000"/>
                <w:sz w:val="17"/>
                <w:szCs w:val="17"/>
              </w:rPr>
            </w:pPr>
            <w:r w:rsidRPr="00BA272D">
              <w:rPr>
                <w:rFonts w:ascii="Arial" w:hAnsi="Arial" w:cs="Arial"/>
                <w:color w:val="000000"/>
                <w:sz w:val="17"/>
                <w:szCs w:val="17"/>
              </w:rPr>
              <w:t>3.7 Otros Gastos Contables No Presupuestarios</w:t>
            </w:r>
          </w:p>
        </w:tc>
        <w:tc>
          <w:tcPr>
            <w:tcW w:w="2126" w:type="dxa"/>
            <w:tcBorders>
              <w:top w:val="nil"/>
              <w:left w:val="nil"/>
              <w:bottom w:val="single" w:sz="4" w:space="0" w:color="auto"/>
              <w:right w:val="single" w:sz="4" w:space="0" w:color="auto"/>
            </w:tcBorders>
            <w:shd w:val="clear" w:color="auto" w:fill="auto"/>
          </w:tcPr>
          <w:p w:rsidR="009A47F0" w:rsidRPr="00BA272D" w:rsidRDefault="004B105F" w:rsidP="009A47F0">
            <w:pPr>
              <w:jc w:val="right"/>
              <w:rPr>
                <w:rFonts w:ascii="Arial" w:hAnsi="Arial" w:cs="Arial"/>
                <w:sz w:val="17"/>
                <w:szCs w:val="17"/>
              </w:rPr>
            </w:pPr>
            <w:r>
              <w:rPr>
                <w:rFonts w:ascii="Arial" w:hAnsi="Arial" w:cs="Arial"/>
                <w:sz w:val="17"/>
                <w:szCs w:val="17"/>
              </w:rPr>
              <w:t>466,331,231</w:t>
            </w:r>
          </w:p>
        </w:tc>
        <w:tc>
          <w:tcPr>
            <w:tcW w:w="1923" w:type="dxa"/>
            <w:tcBorders>
              <w:top w:val="nil"/>
              <w:left w:val="nil"/>
              <w:bottom w:val="single" w:sz="4" w:space="0" w:color="auto"/>
              <w:right w:val="single" w:sz="4" w:space="0" w:color="auto"/>
            </w:tcBorders>
            <w:shd w:val="clear" w:color="auto" w:fill="auto"/>
            <w:hideMark/>
          </w:tcPr>
          <w:p w:rsidR="009A47F0" w:rsidRPr="00BA272D" w:rsidRDefault="009A47F0" w:rsidP="009A47F0">
            <w:pPr>
              <w:jc w:val="right"/>
              <w:rPr>
                <w:rFonts w:ascii="Arial" w:hAnsi="Arial" w:cs="Arial"/>
                <w:sz w:val="17"/>
                <w:szCs w:val="17"/>
              </w:rPr>
            </w:pPr>
          </w:p>
        </w:tc>
      </w:tr>
      <w:tr w:rsidR="00F71E5C" w:rsidRPr="00BA272D" w:rsidTr="00F71E5C">
        <w:trPr>
          <w:trHeight w:val="240"/>
          <w:jc w:val="center"/>
        </w:trPr>
        <w:tc>
          <w:tcPr>
            <w:tcW w:w="5665" w:type="dxa"/>
            <w:tcBorders>
              <w:top w:val="nil"/>
              <w:left w:val="nil"/>
              <w:bottom w:val="nil"/>
              <w:right w:val="nil"/>
            </w:tcBorders>
            <w:shd w:val="clear" w:color="000000" w:fill="FFFFFF"/>
            <w:vAlign w:val="center"/>
            <w:hideMark/>
          </w:tcPr>
          <w:p w:rsidR="00F71E5C" w:rsidRPr="00BA272D" w:rsidRDefault="00F71E5C" w:rsidP="00F71E5C">
            <w:pPr>
              <w:jc w:val="center"/>
              <w:rPr>
                <w:rFonts w:ascii="Arial" w:hAnsi="Arial" w:cs="Arial"/>
                <w:color w:val="000000"/>
                <w:sz w:val="17"/>
                <w:szCs w:val="17"/>
              </w:rPr>
            </w:pPr>
            <w:r w:rsidRPr="00BA272D">
              <w:rPr>
                <w:rFonts w:ascii="Arial" w:hAnsi="Arial" w:cs="Arial"/>
                <w:color w:val="000000"/>
                <w:sz w:val="17"/>
                <w:szCs w:val="17"/>
              </w:rPr>
              <w:t> </w:t>
            </w:r>
          </w:p>
        </w:tc>
        <w:tc>
          <w:tcPr>
            <w:tcW w:w="2126" w:type="dxa"/>
            <w:tcBorders>
              <w:top w:val="nil"/>
              <w:left w:val="nil"/>
              <w:bottom w:val="nil"/>
              <w:right w:val="nil"/>
            </w:tcBorders>
            <w:shd w:val="clear" w:color="000000" w:fill="FFFFFF"/>
            <w:vAlign w:val="center"/>
            <w:hideMark/>
          </w:tcPr>
          <w:p w:rsidR="00F71E5C" w:rsidRPr="00BA272D" w:rsidRDefault="00F71E5C" w:rsidP="009A47F0">
            <w:pPr>
              <w:jc w:val="right"/>
              <w:rPr>
                <w:rFonts w:ascii="Arial" w:hAnsi="Arial" w:cs="Arial"/>
                <w:color w:val="000000"/>
                <w:sz w:val="17"/>
                <w:szCs w:val="17"/>
              </w:rPr>
            </w:pPr>
            <w:r w:rsidRPr="00BA272D">
              <w:rPr>
                <w:rFonts w:ascii="Arial" w:hAnsi="Arial" w:cs="Arial"/>
                <w:color w:val="000000"/>
                <w:sz w:val="17"/>
                <w:szCs w:val="17"/>
              </w:rPr>
              <w:t> </w:t>
            </w:r>
          </w:p>
        </w:tc>
        <w:tc>
          <w:tcPr>
            <w:tcW w:w="1923" w:type="dxa"/>
            <w:tcBorders>
              <w:top w:val="nil"/>
              <w:left w:val="nil"/>
              <w:bottom w:val="nil"/>
              <w:right w:val="nil"/>
            </w:tcBorders>
            <w:shd w:val="clear" w:color="000000" w:fill="FFFFFF"/>
            <w:vAlign w:val="center"/>
            <w:hideMark/>
          </w:tcPr>
          <w:p w:rsidR="00F71E5C" w:rsidRPr="00BA272D" w:rsidRDefault="00F71E5C" w:rsidP="00A80CF5">
            <w:pPr>
              <w:jc w:val="right"/>
              <w:rPr>
                <w:rFonts w:ascii="Arial" w:hAnsi="Arial" w:cs="Arial"/>
                <w:color w:val="000000"/>
                <w:sz w:val="17"/>
                <w:szCs w:val="17"/>
              </w:rPr>
            </w:pPr>
            <w:r w:rsidRPr="00BA272D">
              <w:rPr>
                <w:rFonts w:ascii="Arial" w:hAnsi="Arial" w:cs="Arial"/>
                <w:color w:val="000000"/>
                <w:sz w:val="17"/>
                <w:szCs w:val="17"/>
              </w:rPr>
              <w:t> </w:t>
            </w:r>
          </w:p>
        </w:tc>
      </w:tr>
      <w:tr w:rsidR="00F71E5C" w:rsidRPr="00BA272D" w:rsidTr="004B105F">
        <w:trPr>
          <w:trHeight w:val="240"/>
          <w:jc w:val="center"/>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 xml:space="preserve">4. Total de Gastos Contables </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9A47F0">
            <w:pPr>
              <w:jc w:val="right"/>
              <w:rPr>
                <w:rFonts w:ascii="Arial" w:hAnsi="Arial" w:cs="Arial"/>
                <w:b/>
                <w:bCs/>
                <w:color w:val="000000"/>
                <w:sz w:val="17"/>
                <w:szCs w:val="17"/>
              </w:rPr>
            </w:pPr>
            <w:r w:rsidRPr="00BA272D">
              <w:rPr>
                <w:rFonts w:ascii="Arial" w:hAnsi="Arial" w:cs="Arial"/>
                <w:b/>
                <w:bCs/>
                <w:color w:val="000000"/>
                <w:sz w:val="17"/>
                <w:szCs w:val="17"/>
              </w:rPr>
              <w:t> </w:t>
            </w: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1E4DD4" w:rsidP="00A80CF5">
            <w:pPr>
              <w:jc w:val="right"/>
              <w:rPr>
                <w:rFonts w:ascii="Arial" w:hAnsi="Arial" w:cs="Arial"/>
                <w:b/>
                <w:bCs/>
                <w:color w:val="000000"/>
                <w:sz w:val="17"/>
                <w:szCs w:val="17"/>
              </w:rPr>
            </w:pPr>
            <w:r>
              <w:rPr>
                <w:rFonts w:ascii="Arial" w:hAnsi="Arial" w:cs="Arial"/>
                <w:b/>
                <w:bCs/>
                <w:color w:val="000000"/>
                <w:sz w:val="17"/>
                <w:szCs w:val="17"/>
              </w:rPr>
              <w:t>40,713,274,887</w:t>
            </w:r>
          </w:p>
        </w:tc>
      </w:tr>
    </w:tbl>
    <w:p w:rsidR="00F71E5C" w:rsidRPr="00BA272D" w:rsidRDefault="00F71E5C" w:rsidP="00F71E5C">
      <w:pPr>
        <w:numPr>
          <w:ilvl w:val="0"/>
          <w:numId w:val="9"/>
        </w:numPr>
        <w:autoSpaceDE w:val="0"/>
        <w:autoSpaceDN w:val="0"/>
        <w:adjustRightInd w:val="0"/>
        <w:spacing w:before="240" w:after="120"/>
        <w:jc w:val="center"/>
        <w:rPr>
          <w:rFonts w:ascii="Arial" w:hAnsi="Arial" w:cs="Arial"/>
          <w:b/>
          <w:sz w:val="17"/>
          <w:szCs w:val="17"/>
        </w:rPr>
      </w:pPr>
      <w:r w:rsidRPr="00BA272D">
        <w:rPr>
          <w:rFonts w:ascii="Arial" w:hAnsi="Arial" w:cs="Arial"/>
          <w:b/>
          <w:sz w:val="17"/>
          <w:szCs w:val="17"/>
        </w:rPr>
        <w:lastRenderedPageBreak/>
        <w:t>Notas de Memoria (Cuentas de Orden):</w:t>
      </w:r>
    </w:p>
    <w:p w:rsidR="00F71E5C" w:rsidRPr="00BA272D" w:rsidRDefault="00F71E5C" w:rsidP="00F71E5C">
      <w:pPr>
        <w:autoSpaceDE w:val="0"/>
        <w:autoSpaceDN w:val="0"/>
        <w:adjustRightInd w:val="0"/>
        <w:spacing w:before="240" w:after="120"/>
        <w:ind w:left="720"/>
        <w:rPr>
          <w:rFonts w:ascii="Arial" w:hAnsi="Arial" w:cs="Arial"/>
          <w:b/>
          <w:sz w:val="17"/>
          <w:szCs w:val="17"/>
        </w:rPr>
      </w:pPr>
    </w:p>
    <w:p w:rsidR="00F71E5C" w:rsidRPr="00BA272D" w:rsidRDefault="00F71E5C" w:rsidP="00D459D7">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Las cuentas que se manejan para efectos de estas Notas son las siguientes: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Cuentas de Orden Contables y Presupuestarias: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Contables: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Valores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Emisión de obligaciones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Avales y garantías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Juicios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Contratos para Inversión Mediante Proyectos para Prestación de Servicios (PPS) y Similares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Bienes concesionados o en comodato</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Presupuestarias: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Cuentas de ingresos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t>Cuentas de egresos</w:t>
      </w:r>
    </w:p>
    <w:p w:rsidR="00F71E5C" w:rsidRPr="00BA272D" w:rsidRDefault="00F71E5C" w:rsidP="00503D4F">
      <w:pPr>
        <w:spacing w:before="80" w:line="250" w:lineRule="exact"/>
        <w:ind w:left="851" w:right="-1559"/>
        <w:jc w:val="both"/>
        <w:rPr>
          <w:rFonts w:ascii="Arial" w:eastAsia="Calibri" w:hAnsi="Arial" w:cs="Arial"/>
          <w:spacing w:val="-1"/>
          <w:sz w:val="17"/>
          <w:szCs w:val="17"/>
        </w:rPr>
      </w:pPr>
    </w:p>
    <w:p w:rsidR="00F71E5C" w:rsidRPr="00BA272D" w:rsidRDefault="00F71E5C" w:rsidP="00D459D7">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Se informa, de manera agrupada, en las Notas a los Estados Financieros las cuentas de orden contables y cuentas de orden presupuestarias, considerando al menos lo siguiente:</w:t>
      </w:r>
    </w:p>
    <w:p w:rsidR="00F71E5C" w:rsidRPr="00BA272D" w:rsidRDefault="00F71E5C" w:rsidP="00D459D7">
      <w:pPr>
        <w:spacing w:before="80" w:line="250" w:lineRule="exact"/>
        <w:ind w:left="1418"/>
        <w:jc w:val="both"/>
        <w:rPr>
          <w:rFonts w:ascii="Arial" w:eastAsia="Calibri" w:hAnsi="Arial" w:cs="Arial"/>
          <w:spacing w:val="-1"/>
          <w:sz w:val="17"/>
          <w:szCs w:val="17"/>
        </w:rPr>
      </w:pPr>
      <w:r w:rsidRPr="00BA272D">
        <w:rPr>
          <w:rFonts w:ascii="Arial" w:eastAsia="Calibri" w:hAnsi="Arial" w:cs="Arial"/>
          <w:spacing w:val="-1"/>
          <w:sz w:val="17"/>
          <w:szCs w:val="17"/>
        </w:rPr>
        <w:t>1. Los valores en custodia de instrumentos prestados a formadores de mercado e instrumentos de crédito recibidos en garantía de los formadores de mercado u otros.</w:t>
      </w:r>
    </w:p>
    <w:p w:rsidR="00F71E5C" w:rsidRPr="00BA272D" w:rsidRDefault="00F71E5C" w:rsidP="00F71E5C">
      <w:pPr>
        <w:spacing w:before="80" w:line="250" w:lineRule="exact"/>
        <w:ind w:left="1418"/>
        <w:jc w:val="both"/>
        <w:rPr>
          <w:rFonts w:ascii="Arial" w:eastAsia="Calibri" w:hAnsi="Arial" w:cs="Arial"/>
          <w:spacing w:val="-1"/>
          <w:sz w:val="17"/>
          <w:szCs w:val="17"/>
        </w:rPr>
      </w:pPr>
      <w:r w:rsidRPr="00BA272D">
        <w:rPr>
          <w:rFonts w:ascii="Arial" w:eastAsia="Calibri" w:hAnsi="Arial" w:cs="Arial"/>
          <w:spacing w:val="-1"/>
          <w:sz w:val="17"/>
          <w:szCs w:val="17"/>
        </w:rPr>
        <w:t>2. Por tipo de emisión de instrumento: monto, tasa y vencimiento.</w:t>
      </w:r>
    </w:p>
    <w:p w:rsidR="00F71E5C" w:rsidRPr="00BA272D" w:rsidRDefault="00F71E5C" w:rsidP="00F71E5C">
      <w:pPr>
        <w:spacing w:before="80" w:line="250" w:lineRule="exact"/>
        <w:ind w:left="1418"/>
        <w:jc w:val="both"/>
        <w:rPr>
          <w:rFonts w:ascii="Arial" w:eastAsia="Calibri" w:hAnsi="Arial" w:cs="Arial"/>
          <w:spacing w:val="-1"/>
          <w:sz w:val="17"/>
          <w:szCs w:val="17"/>
        </w:rPr>
      </w:pPr>
      <w:r w:rsidRPr="00BA272D">
        <w:rPr>
          <w:rFonts w:ascii="Arial" w:eastAsia="Calibri" w:hAnsi="Arial" w:cs="Arial"/>
          <w:spacing w:val="-1"/>
          <w:sz w:val="17"/>
          <w:szCs w:val="17"/>
        </w:rPr>
        <w:t>3. Los contratos firmados de construcciones por tipo de contrato.</w:t>
      </w:r>
    </w:p>
    <w:p w:rsidR="00F71E5C" w:rsidRDefault="00F71E5C" w:rsidP="00F71E5C">
      <w:pPr>
        <w:spacing w:before="80" w:line="250" w:lineRule="exact"/>
        <w:ind w:left="1418"/>
        <w:jc w:val="both"/>
        <w:rPr>
          <w:rFonts w:ascii="Arial" w:eastAsia="Calibri" w:hAnsi="Arial" w:cs="Arial"/>
          <w:spacing w:val="-1"/>
          <w:sz w:val="17"/>
          <w:szCs w:val="17"/>
        </w:rPr>
      </w:pPr>
      <w:r w:rsidRPr="00BA272D">
        <w:rPr>
          <w:rFonts w:ascii="Arial" w:eastAsia="Calibri" w:hAnsi="Arial" w:cs="Arial"/>
          <w:spacing w:val="-1"/>
          <w:sz w:val="17"/>
          <w:szCs w:val="17"/>
        </w:rPr>
        <w:t>4. El avance que se registra en las cuentas de orden presupuestarias, previo al cierre presupuestario de cada periodo que se reporte.</w:t>
      </w:r>
    </w:p>
    <w:p w:rsidR="004B105F" w:rsidRDefault="004B105F" w:rsidP="00F71E5C">
      <w:pPr>
        <w:spacing w:before="80" w:line="250" w:lineRule="exact"/>
        <w:ind w:left="1418"/>
        <w:jc w:val="both"/>
        <w:rPr>
          <w:rFonts w:ascii="Arial" w:eastAsia="Calibri" w:hAnsi="Arial" w:cs="Arial"/>
          <w:spacing w:val="-1"/>
          <w:sz w:val="17"/>
          <w:szCs w:val="17"/>
        </w:rPr>
      </w:pPr>
    </w:p>
    <w:p w:rsidR="004B105F" w:rsidRDefault="004B105F" w:rsidP="00F71E5C">
      <w:pPr>
        <w:spacing w:before="80" w:line="250" w:lineRule="exact"/>
        <w:ind w:left="1418"/>
        <w:jc w:val="both"/>
        <w:rPr>
          <w:rFonts w:ascii="Arial" w:eastAsia="Calibri" w:hAnsi="Arial" w:cs="Arial"/>
          <w:spacing w:val="-1"/>
          <w:sz w:val="17"/>
          <w:szCs w:val="17"/>
        </w:rPr>
      </w:pPr>
    </w:p>
    <w:p w:rsidR="004B105F" w:rsidRDefault="004B105F" w:rsidP="00F71E5C">
      <w:pPr>
        <w:spacing w:before="80" w:line="250" w:lineRule="exact"/>
        <w:ind w:left="1418"/>
        <w:jc w:val="both"/>
        <w:rPr>
          <w:rFonts w:ascii="Arial" w:eastAsia="Calibri" w:hAnsi="Arial" w:cs="Arial"/>
          <w:spacing w:val="-1"/>
          <w:sz w:val="17"/>
          <w:szCs w:val="17"/>
        </w:rPr>
      </w:pPr>
    </w:p>
    <w:p w:rsidR="004B105F" w:rsidRDefault="004B105F" w:rsidP="00F71E5C">
      <w:pPr>
        <w:spacing w:before="80" w:line="250" w:lineRule="exact"/>
        <w:ind w:left="1418"/>
        <w:jc w:val="both"/>
        <w:rPr>
          <w:rFonts w:ascii="Arial" w:eastAsia="Calibri" w:hAnsi="Arial" w:cs="Arial"/>
          <w:spacing w:val="-1"/>
          <w:sz w:val="17"/>
          <w:szCs w:val="17"/>
        </w:rPr>
      </w:pPr>
    </w:p>
    <w:p w:rsidR="00F71E5C" w:rsidRPr="00BA272D" w:rsidRDefault="00F71E5C" w:rsidP="00503D4F">
      <w:pPr>
        <w:pStyle w:val="Prrafodelista"/>
        <w:numPr>
          <w:ilvl w:val="0"/>
          <w:numId w:val="8"/>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lastRenderedPageBreak/>
        <w:t>Cuentas de orden contables</w:t>
      </w:r>
    </w:p>
    <w:p w:rsidR="00F71E5C" w:rsidRPr="00BA272D" w:rsidRDefault="00F71E5C" w:rsidP="00503D4F">
      <w:pPr>
        <w:pStyle w:val="Prrafodelista"/>
        <w:autoSpaceDE w:val="0"/>
        <w:autoSpaceDN w:val="0"/>
        <w:adjustRightInd w:val="0"/>
        <w:spacing w:before="240" w:after="120"/>
        <w:ind w:left="851"/>
        <w:jc w:val="both"/>
        <w:rPr>
          <w:rFonts w:ascii="Arial" w:hAnsi="Arial" w:cs="Arial"/>
          <w:b/>
          <w:sz w:val="17"/>
          <w:szCs w:val="17"/>
        </w:rPr>
      </w:pPr>
    </w:p>
    <w:p w:rsidR="00F71E5C" w:rsidRPr="00BA272D" w:rsidRDefault="00F71E5C" w:rsidP="00503D4F">
      <w:pPr>
        <w:pStyle w:val="Prrafodelista"/>
        <w:autoSpaceDE w:val="0"/>
        <w:autoSpaceDN w:val="0"/>
        <w:adjustRightInd w:val="0"/>
        <w:spacing w:before="240" w:after="120"/>
        <w:ind w:left="851"/>
        <w:jc w:val="both"/>
        <w:rPr>
          <w:rFonts w:ascii="Arial" w:hAnsi="Arial" w:cs="Arial"/>
          <w:b/>
          <w:sz w:val="17"/>
          <w:szCs w:val="17"/>
        </w:rPr>
      </w:pPr>
      <w:r w:rsidRPr="00BA272D">
        <w:rPr>
          <w:rFonts w:ascii="Arial" w:hAnsi="Arial" w:cs="Arial"/>
          <w:b/>
          <w:sz w:val="17"/>
          <w:szCs w:val="17"/>
        </w:rPr>
        <w:t>Avales y garantías:</w:t>
      </w:r>
    </w:p>
    <w:p w:rsidR="00F71E5C" w:rsidRPr="00BA272D" w:rsidRDefault="00D459D7" w:rsidP="00F71E5C">
      <w:pPr>
        <w:autoSpaceDE w:val="0"/>
        <w:autoSpaceDN w:val="0"/>
        <w:adjustRightInd w:val="0"/>
        <w:spacing w:before="240" w:after="120"/>
        <w:jc w:val="center"/>
        <w:rPr>
          <w:rFonts w:ascii="Arial" w:eastAsia="Calibri" w:hAnsi="Arial" w:cs="Arial"/>
          <w:b/>
          <w:spacing w:val="-1"/>
          <w:sz w:val="17"/>
          <w:szCs w:val="17"/>
        </w:rPr>
      </w:pPr>
      <w:r w:rsidRPr="00BA272D">
        <w:rPr>
          <w:rFonts w:ascii="Arial" w:eastAsia="Calibri" w:hAnsi="Arial" w:cs="Arial"/>
          <w:b/>
          <w:spacing w:val="-1"/>
          <w:sz w:val="17"/>
          <w:szCs w:val="17"/>
        </w:rPr>
        <w:t xml:space="preserve"> </w:t>
      </w:r>
      <w:r w:rsidR="00F71E5C" w:rsidRPr="00BA272D">
        <w:rPr>
          <w:rFonts w:ascii="Arial" w:eastAsia="Calibri" w:hAnsi="Arial" w:cs="Arial"/>
          <w:b/>
          <w:spacing w:val="-1"/>
          <w:sz w:val="17"/>
          <w:szCs w:val="17"/>
        </w:rPr>
        <w:t>(Pesos)</w:t>
      </w:r>
    </w:p>
    <w:tbl>
      <w:tblPr>
        <w:tblpPr w:leftFromText="141" w:rightFromText="141" w:vertAnchor="page" w:horzAnchor="margin" w:tblpXSpec="center" w:tblpY="2752"/>
        <w:tblW w:w="9952" w:type="dxa"/>
        <w:tblCellMar>
          <w:left w:w="70" w:type="dxa"/>
          <w:right w:w="70" w:type="dxa"/>
        </w:tblCellMar>
        <w:tblLook w:val="04A0" w:firstRow="1" w:lastRow="0" w:firstColumn="1" w:lastColumn="0" w:noHBand="0" w:noVBand="1"/>
      </w:tblPr>
      <w:tblGrid>
        <w:gridCol w:w="3920"/>
        <w:gridCol w:w="1751"/>
        <w:gridCol w:w="1484"/>
        <w:gridCol w:w="1476"/>
        <w:gridCol w:w="1321"/>
      </w:tblGrid>
      <w:tr w:rsidR="004B105F" w:rsidRPr="00BA272D" w:rsidTr="006930B0">
        <w:trPr>
          <w:trHeight w:val="242"/>
        </w:trPr>
        <w:tc>
          <w:tcPr>
            <w:tcW w:w="3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B105F" w:rsidRPr="00BA272D" w:rsidRDefault="004B105F" w:rsidP="004B105F">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B105F" w:rsidRPr="00BA272D" w:rsidRDefault="004B105F" w:rsidP="004B105F">
            <w:pPr>
              <w:jc w:val="center"/>
              <w:rPr>
                <w:rFonts w:ascii="Arial" w:hAnsi="Arial" w:cs="Arial"/>
                <w:b/>
                <w:bCs/>
                <w:color w:val="000000"/>
                <w:sz w:val="17"/>
                <w:szCs w:val="17"/>
              </w:rPr>
            </w:pPr>
            <w:r w:rsidRPr="00BA272D">
              <w:rPr>
                <w:rFonts w:ascii="Arial" w:hAnsi="Arial" w:cs="Arial"/>
                <w:b/>
                <w:bCs/>
                <w:color w:val="000000"/>
                <w:sz w:val="17"/>
                <w:szCs w:val="17"/>
              </w:rPr>
              <w:t>TIPO</w:t>
            </w:r>
          </w:p>
        </w:tc>
        <w:tc>
          <w:tcPr>
            <w:tcW w:w="14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B105F" w:rsidRPr="00BA272D" w:rsidRDefault="004B105F" w:rsidP="004B105F">
            <w:pPr>
              <w:jc w:val="center"/>
              <w:rPr>
                <w:rFonts w:ascii="Arial" w:hAnsi="Arial" w:cs="Arial"/>
                <w:b/>
                <w:bCs/>
                <w:color w:val="000000"/>
                <w:sz w:val="17"/>
                <w:szCs w:val="17"/>
              </w:rPr>
            </w:pPr>
            <w:r w:rsidRPr="00BA272D">
              <w:rPr>
                <w:rFonts w:ascii="Arial" w:hAnsi="Arial" w:cs="Arial"/>
                <w:b/>
                <w:bCs/>
                <w:color w:val="000000"/>
                <w:sz w:val="17"/>
                <w:szCs w:val="17"/>
              </w:rPr>
              <w:t>MONTO</w:t>
            </w:r>
          </w:p>
        </w:tc>
        <w:tc>
          <w:tcPr>
            <w:tcW w:w="14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B105F" w:rsidRPr="00BA272D" w:rsidRDefault="004B105F" w:rsidP="004B105F">
            <w:pPr>
              <w:jc w:val="center"/>
              <w:rPr>
                <w:rFonts w:ascii="Arial" w:hAnsi="Arial" w:cs="Arial"/>
                <w:b/>
                <w:bCs/>
                <w:color w:val="000000"/>
                <w:sz w:val="17"/>
                <w:szCs w:val="17"/>
              </w:rPr>
            </w:pPr>
            <w:r w:rsidRPr="00BA272D">
              <w:rPr>
                <w:rFonts w:ascii="Arial" w:hAnsi="Arial" w:cs="Arial"/>
                <w:b/>
                <w:bCs/>
                <w:color w:val="000000"/>
                <w:sz w:val="17"/>
                <w:szCs w:val="17"/>
              </w:rPr>
              <w:t>TASA</w:t>
            </w:r>
          </w:p>
        </w:tc>
        <w:tc>
          <w:tcPr>
            <w:tcW w:w="132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B105F" w:rsidRPr="00BA272D" w:rsidRDefault="004B105F" w:rsidP="004B105F">
            <w:pPr>
              <w:jc w:val="center"/>
              <w:rPr>
                <w:rFonts w:ascii="Arial" w:hAnsi="Arial" w:cs="Arial"/>
                <w:b/>
                <w:bCs/>
                <w:color w:val="000000"/>
                <w:sz w:val="17"/>
                <w:szCs w:val="17"/>
              </w:rPr>
            </w:pPr>
            <w:r w:rsidRPr="00BA272D">
              <w:rPr>
                <w:rFonts w:ascii="Arial" w:hAnsi="Arial" w:cs="Arial"/>
                <w:b/>
                <w:bCs/>
                <w:color w:val="000000"/>
                <w:sz w:val="17"/>
                <w:szCs w:val="17"/>
              </w:rPr>
              <w:t>VENCIMIENTO</w:t>
            </w:r>
          </w:p>
        </w:tc>
      </w:tr>
      <w:tr w:rsidR="004B105F" w:rsidRPr="00BA272D" w:rsidTr="004B105F">
        <w:trPr>
          <w:trHeight w:val="242"/>
        </w:trPr>
        <w:tc>
          <w:tcPr>
            <w:tcW w:w="3920" w:type="dxa"/>
            <w:tcBorders>
              <w:top w:val="nil"/>
              <w:left w:val="single" w:sz="4" w:space="0" w:color="auto"/>
              <w:bottom w:val="nil"/>
              <w:right w:val="single" w:sz="4" w:space="0" w:color="auto"/>
            </w:tcBorders>
            <w:shd w:val="clear" w:color="auto" w:fill="auto"/>
            <w:vAlign w:val="center"/>
            <w:hideMark/>
          </w:tcPr>
          <w:p w:rsidR="004B105F" w:rsidRPr="00BA272D" w:rsidRDefault="004B105F" w:rsidP="004B105F">
            <w:pPr>
              <w:rPr>
                <w:rFonts w:ascii="Arial" w:hAnsi="Arial" w:cs="Arial"/>
                <w:color w:val="000000"/>
                <w:sz w:val="17"/>
                <w:szCs w:val="17"/>
              </w:rPr>
            </w:pPr>
            <w:r w:rsidRPr="00BA272D">
              <w:rPr>
                <w:rFonts w:ascii="Arial" w:hAnsi="Arial" w:cs="Arial"/>
                <w:color w:val="000000"/>
                <w:sz w:val="17"/>
                <w:szCs w:val="17"/>
              </w:rPr>
              <w:t>Avales Autorizados</w:t>
            </w:r>
          </w:p>
        </w:tc>
        <w:tc>
          <w:tcPr>
            <w:tcW w:w="1751" w:type="dxa"/>
            <w:tcBorders>
              <w:top w:val="nil"/>
              <w:left w:val="nil"/>
              <w:bottom w:val="nil"/>
              <w:right w:val="single" w:sz="4" w:space="0" w:color="auto"/>
            </w:tcBorders>
            <w:shd w:val="clear" w:color="auto" w:fill="auto"/>
            <w:vAlign w:val="center"/>
            <w:hideMark/>
          </w:tcPr>
          <w:p w:rsidR="004B105F" w:rsidRPr="00BA272D" w:rsidRDefault="004B105F" w:rsidP="004B105F">
            <w:pPr>
              <w:jc w:val="center"/>
              <w:rPr>
                <w:rFonts w:ascii="Arial" w:hAnsi="Arial" w:cs="Arial"/>
                <w:bCs/>
                <w:color w:val="000000"/>
                <w:sz w:val="17"/>
                <w:szCs w:val="17"/>
              </w:rPr>
            </w:pPr>
            <w:r>
              <w:rPr>
                <w:rFonts w:ascii="Arial" w:hAnsi="Arial" w:cs="Arial"/>
                <w:bCs/>
                <w:color w:val="000000"/>
                <w:sz w:val="17"/>
                <w:szCs w:val="17"/>
              </w:rPr>
              <w:t>Deuda Avalada</w:t>
            </w:r>
          </w:p>
        </w:tc>
        <w:tc>
          <w:tcPr>
            <w:tcW w:w="1484" w:type="dxa"/>
            <w:tcBorders>
              <w:top w:val="nil"/>
              <w:left w:val="nil"/>
              <w:bottom w:val="nil"/>
              <w:right w:val="single" w:sz="4" w:space="0" w:color="auto"/>
            </w:tcBorders>
            <w:shd w:val="clear" w:color="auto" w:fill="auto"/>
            <w:vAlign w:val="center"/>
          </w:tcPr>
          <w:p w:rsidR="004B105F" w:rsidRPr="00BA272D" w:rsidRDefault="004B105F" w:rsidP="004B105F">
            <w:pPr>
              <w:jc w:val="right"/>
              <w:rPr>
                <w:rFonts w:ascii="Arial" w:hAnsi="Arial" w:cs="Arial"/>
                <w:bCs/>
                <w:color w:val="000000"/>
                <w:sz w:val="17"/>
                <w:szCs w:val="17"/>
              </w:rPr>
            </w:pPr>
            <w:r w:rsidRPr="00BA272D">
              <w:rPr>
                <w:rFonts w:ascii="Arial" w:hAnsi="Arial" w:cs="Arial"/>
                <w:bCs/>
                <w:color w:val="000000"/>
                <w:sz w:val="17"/>
                <w:szCs w:val="17"/>
              </w:rPr>
              <w:t>72,395,079</w:t>
            </w:r>
          </w:p>
        </w:tc>
        <w:tc>
          <w:tcPr>
            <w:tcW w:w="1476" w:type="dxa"/>
            <w:tcBorders>
              <w:top w:val="nil"/>
              <w:left w:val="nil"/>
              <w:bottom w:val="nil"/>
              <w:right w:val="single" w:sz="4" w:space="0" w:color="auto"/>
            </w:tcBorders>
            <w:shd w:val="clear" w:color="auto" w:fill="auto"/>
            <w:vAlign w:val="center"/>
            <w:hideMark/>
          </w:tcPr>
          <w:p w:rsidR="004B105F" w:rsidRPr="00BA272D" w:rsidRDefault="004B105F" w:rsidP="004B105F">
            <w:pPr>
              <w:jc w:val="center"/>
              <w:rPr>
                <w:rFonts w:ascii="Arial" w:hAnsi="Arial" w:cs="Arial"/>
                <w:bCs/>
                <w:color w:val="000000"/>
                <w:sz w:val="17"/>
                <w:szCs w:val="17"/>
              </w:rPr>
            </w:pPr>
            <w:r w:rsidRPr="00BA272D">
              <w:rPr>
                <w:rFonts w:ascii="Arial" w:hAnsi="Arial" w:cs="Arial"/>
                <w:bCs/>
                <w:color w:val="000000"/>
                <w:sz w:val="17"/>
                <w:szCs w:val="17"/>
              </w:rPr>
              <w:t>TIIE + 1.70</w:t>
            </w:r>
          </w:p>
        </w:tc>
        <w:tc>
          <w:tcPr>
            <w:tcW w:w="1321" w:type="dxa"/>
            <w:tcBorders>
              <w:top w:val="nil"/>
              <w:left w:val="nil"/>
              <w:bottom w:val="nil"/>
              <w:right w:val="single" w:sz="4" w:space="0" w:color="auto"/>
            </w:tcBorders>
            <w:shd w:val="clear" w:color="auto" w:fill="auto"/>
            <w:vAlign w:val="center"/>
            <w:hideMark/>
          </w:tcPr>
          <w:p w:rsidR="004B105F" w:rsidRPr="00BA272D" w:rsidRDefault="004B105F" w:rsidP="004B105F">
            <w:pPr>
              <w:jc w:val="center"/>
              <w:rPr>
                <w:rFonts w:ascii="Arial" w:hAnsi="Arial" w:cs="Arial"/>
                <w:bCs/>
                <w:color w:val="000000"/>
                <w:sz w:val="17"/>
                <w:szCs w:val="17"/>
              </w:rPr>
            </w:pPr>
            <w:r w:rsidRPr="00BA272D">
              <w:rPr>
                <w:rFonts w:ascii="Arial" w:hAnsi="Arial" w:cs="Arial"/>
                <w:bCs/>
                <w:color w:val="000000"/>
                <w:sz w:val="17"/>
                <w:szCs w:val="17"/>
              </w:rPr>
              <w:t>23/10/2027</w:t>
            </w:r>
          </w:p>
        </w:tc>
      </w:tr>
      <w:tr w:rsidR="004B105F" w:rsidRPr="00BA272D" w:rsidTr="004B105F">
        <w:trPr>
          <w:trHeight w:val="242"/>
        </w:trPr>
        <w:tc>
          <w:tcPr>
            <w:tcW w:w="3920" w:type="dxa"/>
            <w:tcBorders>
              <w:top w:val="nil"/>
              <w:left w:val="single" w:sz="4" w:space="0" w:color="auto"/>
              <w:bottom w:val="single" w:sz="4" w:space="0" w:color="auto"/>
              <w:right w:val="single" w:sz="4" w:space="0" w:color="auto"/>
            </w:tcBorders>
            <w:shd w:val="clear" w:color="auto" w:fill="auto"/>
            <w:vAlign w:val="center"/>
          </w:tcPr>
          <w:p w:rsidR="004B105F" w:rsidRPr="00BA272D" w:rsidRDefault="004B105F" w:rsidP="004B105F">
            <w:pPr>
              <w:rPr>
                <w:rFonts w:ascii="Arial" w:hAnsi="Arial" w:cs="Arial"/>
                <w:color w:val="000000"/>
                <w:sz w:val="17"/>
                <w:szCs w:val="17"/>
              </w:rPr>
            </w:pPr>
            <w:r w:rsidRPr="00BA272D">
              <w:rPr>
                <w:rFonts w:ascii="Arial" w:hAnsi="Arial" w:cs="Arial"/>
                <w:color w:val="000000"/>
                <w:sz w:val="17"/>
                <w:szCs w:val="17"/>
              </w:rPr>
              <w:t>Suscripción de Contratos de Préstamos y Otras Obligaciones de la Deuda Pública Interna</w:t>
            </w:r>
          </w:p>
        </w:tc>
        <w:tc>
          <w:tcPr>
            <w:tcW w:w="1751" w:type="dxa"/>
            <w:tcBorders>
              <w:top w:val="nil"/>
              <w:left w:val="nil"/>
              <w:bottom w:val="single" w:sz="4" w:space="0" w:color="auto"/>
              <w:right w:val="single" w:sz="4" w:space="0" w:color="auto"/>
            </w:tcBorders>
            <w:shd w:val="clear" w:color="auto" w:fill="auto"/>
            <w:vAlign w:val="center"/>
          </w:tcPr>
          <w:p w:rsidR="004B105F" w:rsidRPr="00BA272D" w:rsidRDefault="004B105F" w:rsidP="004B105F">
            <w:pPr>
              <w:jc w:val="center"/>
              <w:rPr>
                <w:rFonts w:ascii="Arial" w:hAnsi="Arial" w:cs="Arial"/>
                <w:bCs/>
                <w:color w:val="000000"/>
                <w:sz w:val="17"/>
                <w:szCs w:val="17"/>
              </w:rPr>
            </w:pPr>
            <w:r>
              <w:rPr>
                <w:rFonts w:ascii="Arial" w:hAnsi="Arial" w:cs="Arial"/>
                <w:bCs/>
                <w:color w:val="000000"/>
                <w:sz w:val="17"/>
                <w:szCs w:val="17"/>
              </w:rPr>
              <w:t>Línea de Crédito Contingente</w:t>
            </w:r>
          </w:p>
        </w:tc>
        <w:tc>
          <w:tcPr>
            <w:tcW w:w="1484" w:type="dxa"/>
            <w:tcBorders>
              <w:top w:val="nil"/>
              <w:left w:val="nil"/>
              <w:bottom w:val="single" w:sz="4" w:space="0" w:color="auto"/>
              <w:right w:val="single" w:sz="4" w:space="0" w:color="auto"/>
            </w:tcBorders>
            <w:shd w:val="clear" w:color="auto" w:fill="auto"/>
            <w:vAlign w:val="center"/>
          </w:tcPr>
          <w:p w:rsidR="004B105F" w:rsidRPr="00BA272D" w:rsidRDefault="004B105F" w:rsidP="004B105F">
            <w:pPr>
              <w:jc w:val="right"/>
              <w:rPr>
                <w:rFonts w:ascii="Arial" w:hAnsi="Arial" w:cs="Arial"/>
                <w:bCs/>
                <w:color w:val="000000"/>
                <w:sz w:val="17"/>
                <w:szCs w:val="17"/>
              </w:rPr>
            </w:pPr>
            <w:r w:rsidRPr="00BA272D">
              <w:rPr>
                <w:rFonts w:ascii="Arial" w:hAnsi="Arial" w:cs="Arial"/>
                <w:bCs/>
                <w:color w:val="000000"/>
                <w:sz w:val="17"/>
                <w:szCs w:val="17"/>
              </w:rPr>
              <w:t>65,842,628</w:t>
            </w:r>
          </w:p>
        </w:tc>
        <w:tc>
          <w:tcPr>
            <w:tcW w:w="1476" w:type="dxa"/>
            <w:tcBorders>
              <w:top w:val="nil"/>
              <w:left w:val="nil"/>
              <w:bottom w:val="single" w:sz="4" w:space="0" w:color="auto"/>
              <w:right w:val="single" w:sz="4" w:space="0" w:color="auto"/>
            </w:tcBorders>
            <w:shd w:val="clear" w:color="auto" w:fill="auto"/>
            <w:vAlign w:val="center"/>
          </w:tcPr>
          <w:p w:rsidR="004B105F" w:rsidRPr="00BA272D" w:rsidRDefault="004B105F" w:rsidP="004B105F">
            <w:pPr>
              <w:jc w:val="center"/>
              <w:rPr>
                <w:rFonts w:ascii="Arial" w:hAnsi="Arial" w:cs="Arial"/>
                <w:bCs/>
                <w:color w:val="000000"/>
                <w:sz w:val="17"/>
                <w:szCs w:val="17"/>
              </w:rPr>
            </w:pPr>
            <w:r w:rsidRPr="00BA272D">
              <w:rPr>
                <w:rFonts w:ascii="Arial" w:hAnsi="Arial" w:cs="Arial"/>
                <w:bCs/>
                <w:color w:val="000000"/>
                <w:sz w:val="17"/>
                <w:szCs w:val="17"/>
              </w:rPr>
              <w:t>TIIE + 2.77</w:t>
            </w:r>
          </w:p>
        </w:tc>
        <w:tc>
          <w:tcPr>
            <w:tcW w:w="1321" w:type="dxa"/>
            <w:tcBorders>
              <w:top w:val="nil"/>
              <w:left w:val="nil"/>
              <w:bottom w:val="single" w:sz="4" w:space="0" w:color="auto"/>
              <w:right w:val="single" w:sz="4" w:space="0" w:color="auto"/>
            </w:tcBorders>
            <w:shd w:val="clear" w:color="auto" w:fill="auto"/>
            <w:vAlign w:val="center"/>
          </w:tcPr>
          <w:p w:rsidR="004B105F" w:rsidRPr="00BA272D" w:rsidRDefault="004B105F" w:rsidP="004B105F">
            <w:pPr>
              <w:jc w:val="center"/>
              <w:rPr>
                <w:rFonts w:ascii="Arial" w:hAnsi="Arial" w:cs="Arial"/>
                <w:bCs/>
                <w:color w:val="000000"/>
                <w:sz w:val="17"/>
                <w:szCs w:val="17"/>
              </w:rPr>
            </w:pPr>
            <w:r w:rsidRPr="00BA272D">
              <w:rPr>
                <w:rFonts w:ascii="Arial" w:hAnsi="Arial" w:cs="Arial"/>
                <w:bCs/>
                <w:color w:val="000000"/>
                <w:sz w:val="17"/>
                <w:szCs w:val="17"/>
              </w:rPr>
              <w:t>01/09/2035</w:t>
            </w:r>
          </w:p>
        </w:tc>
      </w:tr>
    </w:tbl>
    <w:p w:rsidR="00D459D7" w:rsidRDefault="00D459D7" w:rsidP="00503D4F">
      <w:pPr>
        <w:pStyle w:val="Prrafodelista"/>
        <w:spacing w:before="80" w:line="250" w:lineRule="exact"/>
        <w:ind w:left="851" w:right="-1559"/>
        <w:jc w:val="both"/>
        <w:rPr>
          <w:rFonts w:ascii="Arial" w:eastAsia="Calibri" w:hAnsi="Arial" w:cs="Arial"/>
          <w:spacing w:val="-1"/>
          <w:sz w:val="17"/>
          <w:szCs w:val="17"/>
        </w:rPr>
      </w:pPr>
    </w:p>
    <w:p w:rsidR="004B105F" w:rsidRDefault="004B105F" w:rsidP="00E653FE">
      <w:pPr>
        <w:pStyle w:val="Prrafodelista"/>
        <w:spacing w:before="80" w:line="250" w:lineRule="exact"/>
        <w:ind w:left="851"/>
        <w:jc w:val="both"/>
        <w:rPr>
          <w:rFonts w:ascii="Arial" w:eastAsia="Calibri" w:hAnsi="Arial" w:cs="Arial"/>
          <w:spacing w:val="-1"/>
          <w:sz w:val="17"/>
          <w:szCs w:val="17"/>
        </w:rPr>
      </w:pPr>
    </w:p>
    <w:p w:rsidR="004B105F" w:rsidRDefault="004B105F" w:rsidP="00E653FE">
      <w:pPr>
        <w:pStyle w:val="Prrafodelista"/>
        <w:spacing w:before="80" w:line="250" w:lineRule="exact"/>
        <w:ind w:left="851"/>
        <w:jc w:val="both"/>
        <w:rPr>
          <w:rFonts w:ascii="Arial" w:eastAsia="Calibri" w:hAnsi="Arial" w:cs="Arial"/>
          <w:spacing w:val="-1"/>
          <w:sz w:val="17"/>
          <w:szCs w:val="17"/>
        </w:rPr>
      </w:pPr>
    </w:p>
    <w:p w:rsidR="004B105F" w:rsidRDefault="004B105F" w:rsidP="00E653FE">
      <w:pPr>
        <w:pStyle w:val="Prrafodelista"/>
        <w:spacing w:before="80" w:line="250" w:lineRule="exact"/>
        <w:ind w:left="851"/>
        <w:jc w:val="both"/>
        <w:rPr>
          <w:rFonts w:ascii="Arial" w:eastAsia="Calibri" w:hAnsi="Arial" w:cs="Arial"/>
          <w:spacing w:val="-1"/>
          <w:sz w:val="17"/>
          <w:szCs w:val="17"/>
        </w:rPr>
      </w:pPr>
    </w:p>
    <w:p w:rsidR="004B105F" w:rsidRDefault="004B105F" w:rsidP="00E653FE">
      <w:pPr>
        <w:pStyle w:val="Prrafodelista"/>
        <w:spacing w:before="80" w:line="250" w:lineRule="exact"/>
        <w:ind w:left="851"/>
        <w:jc w:val="both"/>
        <w:rPr>
          <w:rFonts w:ascii="Arial" w:eastAsia="Calibri" w:hAnsi="Arial" w:cs="Arial"/>
          <w:spacing w:val="-1"/>
          <w:sz w:val="17"/>
          <w:szCs w:val="17"/>
        </w:rPr>
      </w:pPr>
    </w:p>
    <w:p w:rsidR="004B105F" w:rsidRDefault="004B105F" w:rsidP="00E653FE">
      <w:pPr>
        <w:pStyle w:val="Prrafodelista"/>
        <w:spacing w:before="80" w:line="250" w:lineRule="exact"/>
        <w:ind w:left="851"/>
        <w:jc w:val="both"/>
        <w:rPr>
          <w:rFonts w:ascii="Arial" w:eastAsia="Calibri" w:hAnsi="Arial" w:cs="Arial"/>
          <w:spacing w:val="-1"/>
          <w:sz w:val="17"/>
          <w:szCs w:val="17"/>
        </w:rPr>
      </w:pPr>
    </w:p>
    <w:p w:rsidR="00F71E5C" w:rsidRPr="00BA272D" w:rsidRDefault="00E653FE" w:rsidP="00E653FE">
      <w:pPr>
        <w:pStyle w:val="Prrafodelista"/>
        <w:spacing w:before="80" w:line="250" w:lineRule="exact"/>
        <w:ind w:left="851"/>
        <w:jc w:val="both"/>
        <w:rPr>
          <w:rFonts w:ascii="Arial" w:eastAsia="Calibri" w:hAnsi="Arial" w:cs="Arial"/>
          <w:spacing w:val="-1"/>
          <w:sz w:val="17"/>
          <w:szCs w:val="17"/>
        </w:rPr>
      </w:pPr>
      <w:r>
        <w:rPr>
          <w:rFonts w:ascii="Arial" w:eastAsia="Calibri" w:hAnsi="Arial" w:cs="Arial"/>
          <w:spacing w:val="-1"/>
          <w:sz w:val="17"/>
          <w:szCs w:val="17"/>
        </w:rPr>
        <w:t>La deuda avalada</w:t>
      </w:r>
      <w:r w:rsidR="00C96C9D">
        <w:rPr>
          <w:rFonts w:ascii="Arial" w:eastAsia="Calibri" w:hAnsi="Arial" w:cs="Arial"/>
          <w:spacing w:val="-1"/>
          <w:sz w:val="17"/>
          <w:szCs w:val="17"/>
        </w:rPr>
        <w:t xml:space="preserve"> </w:t>
      </w:r>
      <w:r w:rsidR="00C86D39">
        <w:rPr>
          <w:rFonts w:ascii="Arial" w:eastAsia="Calibri" w:hAnsi="Arial" w:cs="Arial"/>
          <w:spacing w:val="-1"/>
          <w:sz w:val="17"/>
          <w:szCs w:val="17"/>
        </w:rPr>
        <w:t xml:space="preserve">es </w:t>
      </w:r>
      <w:r w:rsidR="00C86D39" w:rsidRPr="00C86D39">
        <w:rPr>
          <w:rFonts w:ascii="Arial" w:eastAsia="Calibri" w:hAnsi="Arial" w:cs="Arial"/>
          <w:spacing w:val="-1"/>
          <w:sz w:val="17"/>
          <w:szCs w:val="17"/>
        </w:rPr>
        <w:t>para poner a disposición de la Comisión Estatal de Aguas, 72 mill</w:t>
      </w:r>
      <w:r w:rsidR="00C86D39">
        <w:rPr>
          <w:rFonts w:ascii="Arial" w:eastAsia="Calibri" w:hAnsi="Arial" w:cs="Arial"/>
          <w:spacing w:val="-1"/>
          <w:sz w:val="17"/>
          <w:szCs w:val="17"/>
        </w:rPr>
        <w:t>ones</w:t>
      </w:r>
      <w:r w:rsidR="00C86D39" w:rsidRPr="00C86D39">
        <w:rPr>
          <w:rFonts w:ascii="Arial" w:eastAsia="Calibri" w:hAnsi="Arial" w:cs="Arial"/>
          <w:spacing w:val="-1"/>
          <w:sz w:val="17"/>
          <w:szCs w:val="17"/>
        </w:rPr>
        <w:t xml:space="preserve"> para cubrir cualquier incumplimiento de sus obligaciones de pago mensual a la empresa que opera el Acueducto II.</w:t>
      </w:r>
    </w:p>
    <w:p w:rsidR="00D70995" w:rsidRDefault="00D70995" w:rsidP="00503D4F">
      <w:pPr>
        <w:pStyle w:val="Prrafodelista"/>
        <w:spacing w:before="80" w:line="250" w:lineRule="exact"/>
        <w:ind w:left="851" w:right="-1559"/>
        <w:jc w:val="both"/>
        <w:rPr>
          <w:rFonts w:ascii="Arial" w:eastAsia="Calibri" w:hAnsi="Arial" w:cs="Arial"/>
          <w:spacing w:val="-1"/>
          <w:sz w:val="17"/>
          <w:szCs w:val="17"/>
        </w:rPr>
      </w:pPr>
    </w:p>
    <w:p w:rsidR="00C86D39" w:rsidRPr="00C86D39" w:rsidRDefault="00E653FE" w:rsidP="00C86D39">
      <w:pPr>
        <w:ind w:left="851"/>
        <w:jc w:val="both"/>
        <w:rPr>
          <w:rFonts w:ascii="Arial" w:eastAsia="Calibri" w:hAnsi="Arial" w:cs="Arial"/>
          <w:spacing w:val="-1"/>
          <w:sz w:val="17"/>
          <w:szCs w:val="17"/>
        </w:rPr>
      </w:pPr>
      <w:r>
        <w:rPr>
          <w:rFonts w:ascii="Arial" w:eastAsia="Calibri" w:hAnsi="Arial" w:cs="Arial"/>
          <w:spacing w:val="-1"/>
          <w:sz w:val="17"/>
          <w:szCs w:val="17"/>
        </w:rPr>
        <w:t>La línea de créd</w:t>
      </w:r>
      <w:r w:rsidR="007A0EF8">
        <w:rPr>
          <w:rFonts w:ascii="Arial" w:eastAsia="Calibri" w:hAnsi="Arial" w:cs="Arial"/>
          <w:spacing w:val="-1"/>
          <w:sz w:val="17"/>
          <w:szCs w:val="17"/>
        </w:rPr>
        <w:t>ito contingente es</w:t>
      </w:r>
      <w:r>
        <w:rPr>
          <w:rFonts w:ascii="Arial" w:eastAsia="Calibri" w:hAnsi="Arial" w:cs="Arial"/>
          <w:spacing w:val="-1"/>
          <w:sz w:val="17"/>
          <w:szCs w:val="17"/>
        </w:rPr>
        <w:t xml:space="preserve"> </w:t>
      </w:r>
      <w:r w:rsidR="00C86D39" w:rsidRPr="00C86D39">
        <w:rPr>
          <w:rFonts w:ascii="Arial" w:eastAsia="Calibri" w:hAnsi="Arial" w:cs="Arial"/>
          <w:spacing w:val="-1"/>
          <w:sz w:val="17"/>
          <w:szCs w:val="17"/>
        </w:rPr>
        <w:t>para poner a disposición del Poder ejecutivo del Estado 65 mill</w:t>
      </w:r>
      <w:r w:rsidR="00C86D39">
        <w:rPr>
          <w:rFonts w:ascii="Arial" w:eastAsia="Calibri" w:hAnsi="Arial" w:cs="Arial"/>
          <w:spacing w:val="-1"/>
          <w:sz w:val="17"/>
          <w:szCs w:val="17"/>
        </w:rPr>
        <w:t>ones</w:t>
      </w:r>
      <w:r w:rsidR="00C86D39" w:rsidRPr="00C86D39">
        <w:rPr>
          <w:rFonts w:ascii="Arial" w:eastAsia="Calibri" w:hAnsi="Arial" w:cs="Arial"/>
          <w:spacing w:val="-1"/>
          <w:sz w:val="17"/>
          <w:szCs w:val="17"/>
        </w:rPr>
        <w:t xml:space="preserve"> para cubrir el pago a un desarrollador en el caso de que los edificios construidos por este último en el Parque Aeroespacial de Querétaro dejen de generar rentas por no tener arrendatario, siempre que no sea por causa imputable al Desarrollador Inmobiliario. </w:t>
      </w:r>
    </w:p>
    <w:p w:rsidR="00C86D39" w:rsidRDefault="00C86D39" w:rsidP="00C86D39"/>
    <w:p w:rsidR="00C86D39" w:rsidRPr="00BA272D" w:rsidRDefault="00C86D39" w:rsidP="00C86D39">
      <w:pPr>
        <w:numPr>
          <w:ilvl w:val="0"/>
          <w:numId w:val="8"/>
        </w:numPr>
        <w:ind w:left="284" w:firstLine="0"/>
        <w:rPr>
          <w:rFonts w:ascii="Arial" w:hAnsi="Arial" w:cs="Arial"/>
          <w:b/>
          <w:bCs/>
          <w:color w:val="000000"/>
          <w:sz w:val="17"/>
          <w:szCs w:val="17"/>
        </w:rPr>
      </w:pPr>
      <w:r w:rsidRPr="00BA272D">
        <w:rPr>
          <w:rFonts w:ascii="Arial" w:hAnsi="Arial" w:cs="Arial"/>
          <w:b/>
          <w:bCs/>
          <w:color w:val="000000"/>
          <w:sz w:val="17"/>
          <w:szCs w:val="17"/>
        </w:rPr>
        <w:t>Bienes Arqueológicos, Artísticos e Históricos:</w:t>
      </w:r>
    </w:p>
    <w:p w:rsidR="00F71E5C" w:rsidRPr="00BA272D" w:rsidRDefault="00F71E5C" w:rsidP="00C86D39">
      <w:pPr>
        <w:pStyle w:val="Prrafodelista"/>
        <w:spacing w:before="80" w:line="250" w:lineRule="exact"/>
        <w:ind w:left="851" w:right="141"/>
        <w:jc w:val="both"/>
        <w:rPr>
          <w:rFonts w:ascii="Arial" w:eastAsia="Calibri" w:hAnsi="Arial" w:cs="Arial"/>
          <w:spacing w:val="-1"/>
          <w:sz w:val="17"/>
          <w:szCs w:val="17"/>
        </w:rPr>
      </w:pPr>
      <w:r w:rsidRPr="00BA272D">
        <w:rPr>
          <w:rFonts w:ascii="Arial" w:eastAsia="Calibri" w:hAnsi="Arial" w:cs="Arial"/>
          <w:b/>
          <w:spacing w:val="-1"/>
          <w:sz w:val="17"/>
          <w:szCs w:val="17"/>
        </w:rPr>
        <w:tab/>
      </w:r>
    </w:p>
    <w:p w:rsidR="00F71E5C" w:rsidRPr="00BA272D" w:rsidRDefault="00F71E5C" w:rsidP="00D459D7">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Atendiendo los lineamientos para el registro auxiliar sujeto a inventario de bienes arqueológicos, artísticos e históricos bajo custodia de los entes públicos a que hace referencia la Ley General de Contabilidad Gubernamental:</w:t>
      </w:r>
    </w:p>
    <w:p w:rsidR="00F71E5C" w:rsidRPr="00BA272D" w:rsidRDefault="00F71E5C" w:rsidP="00503D4F">
      <w:pPr>
        <w:autoSpaceDE w:val="0"/>
        <w:autoSpaceDN w:val="0"/>
        <w:adjustRightInd w:val="0"/>
        <w:spacing w:before="240" w:after="120"/>
        <w:ind w:left="284"/>
        <w:jc w:val="center"/>
        <w:rPr>
          <w:rFonts w:ascii="Arial" w:eastAsia="Calibri" w:hAnsi="Arial" w:cs="Arial"/>
          <w:b/>
          <w:spacing w:val="-1"/>
          <w:sz w:val="17"/>
          <w:szCs w:val="17"/>
        </w:rPr>
      </w:pPr>
      <w:r w:rsidRPr="00BA272D">
        <w:rPr>
          <w:rFonts w:ascii="Arial" w:eastAsia="Calibri" w:hAnsi="Arial" w:cs="Arial"/>
          <w:b/>
          <w:spacing w:val="-1"/>
          <w:sz w:val="17"/>
          <w:szCs w:val="17"/>
        </w:rPr>
        <w:t>(Pesos)</w:t>
      </w:r>
    </w:p>
    <w:p w:rsidR="00F71E5C" w:rsidRPr="00BA272D" w:rsidRDefault="00F71E5C" w:rsidP="00F71E5C">
      <w:pPr>
        <w:ind w:left="720"/>
        <w:rPr>
          <w:rFonts w:ascii="Arial" w:hAnsi="Arial" w:cs="Arial"/>
          <w:b/>
          <w:bCs/>
          <w:color w:val="000000"/>
          <w:sz w:val="17"/>
          <w:szCs w:val="17"/>
        </w:rPr>
      </w:pPr>
    </w:p>
    <w:tbl>
      <w:tblPr>
        <w:tblW w:w="9260" w:type="dxa"/>
        <w:tblInd w:w="1641" w:type="dxa"/>
        <w:tblCellMar>
          <w:left w:w="70" w:type="dxa"/>
          <w:right w:w="70" w:type="dxa"/>
        </w:tblCellMar>
        <w:tblLook w:val="04A0" w:firstRow="1" w:lastRow="0" w:firstColumn="1" w:lastColumn="0" w:noHBand="0" w:noVBand="1"/>
      </w:tblPr>
      <w:tblGrid>
        <w:gridCol w:w="4900"/>
        <w:gridCol w:w="2180"/>
        <w:gridCol w:w="2180"/>
      </w:tblGrid>
      <w:tr w:rsidR="00F71E5C" w:rsidRPr="00BA272D" w:rsidTr="006930B0">
        <w:trPr>
          <w:trHeight w:val="240"/>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r>
      <w:tr w:rsidR="00F71E5C" w:rsidRPr="00BA272D"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Bienes Arqueológicos</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center"/>
              <w:rPr>
                <w:rFonts w:ascii="Arial" w:hAnsi="Arial" w:cs="Arial"/>
                <w:bCs/>
                <w:color w:val="000000"/>
                <w:sz w:val="17"/>
                <w:szCs w:val="17"/>
              </w:rPr>
            </w:pPr>
            <w:r w:rsidRPr="00BA272D">
              <w:rPr>
                <w:rFonts w:ascii="Arial" w:hAnsi="Arial" w:cs="Arial"/>
                <w:bCs/>
                <w:color w:val="000000"/>
                <w:sz w:val="17"/>
                <w:szCs w:val="17"/>
              </w:rPr>
              <w:t>Arqueológico</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920CF" w:rsidP="00F71E5C">
            <w:pPr>
              <w:jc w:val="right"/>
              <w:rPr>
                <w:rFonts w:ascii="Arial" w:hAnsi="Arial" w:cs="Arial"/>
                <w:bCs/>
                <w:color w:val="000000"/>
                <w:sz w:val="17"/>
                <w:szCs w:val="17"/>
              </w:rPr>
            </w:pPr>
            <w:r w:rsidRPr="00BA272D">
              <w:rPr>
                <w:rFonts w:ascii="Arial" w:hAnsi="Arial" w:cs="Arial"/>
                <w:bCs/>
                <w:color w:val="000000"/>
                <w:sz w:val="17"/>
                <w:szCs w:val="17"/>
              </w:rPr>
              <w:t>3</w:t>
            </w:r>
          </w:p>
        </w:tc>
      </w:tr>
      <w:tr w:rsidR="00F71E5C" w:rsidRPr="00BA272D"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Bienes Artísticos Muebles</w:t>
            </w:r>
          </w:p>
        </w:tc>
        <w:tc>
          <w:tcPr>
            <w:tcW w:w="2180" w:type="dxa"/>
            <w:tcBorders>
              <w:top w:val="nil"/>
              <w:left w:val="nil"/>
              <w:bottom w:val="single" w:sz="4" w:space="0" w:color="auto"/>
              <w:right w:val="single" w:sz="4" w:space="0" w:color="auto"/>
            </w:tcBorders>
            <w:shd w:val="clear" w:color="auto" w:fill="auto"/>
            <w:vAlign w:val="center"/>
            <w:hideMark/>
          </w:tcPr>
          <w:p w:rsidR="00F71E5C" w:rsidRPr="00BA272D" w:rsidRDefault="00F71E5C" w:rsidP="00F71E5C">
            <w:pPr>
              <w:jc w:val="center"/>
              <w:rPr>
                <w:rFonts w:ascii="Arial" w:hAnsi="Arial" w:cs="Arial"/>
                <w:bCs/>
                <w:color w:val="000000"/>
                <w:sz w:val="17"/>
                <w:szCs w:val="17"/>
              </w:rPr>
            </w:pPr>
            <w:r w:rsidRPr="00BA272D">
              <w:rPr>
                <w:rFonts w:ascii="Arial" w:hAnsi="Arial" w:cs="Arial"/>
                <w:bCs/>
                <w:color w:val="000000"/>
                <w:sz w:val="17"/>
                <w:szCs w:val="17"/>
              </w:rPr>
              <w:t>Artístico</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right"/>
              <w:rPr>
                <w:rFonts w:ascii="Arial" w:hAnsi="Arial" w:cs="Arial"/>
                <w:bCs/>
                <w:color w:val="000000"/>
                <w:sz w:val="17"/>
                <w:szCs w:val="17"/>
              </w:rPr>
            </w:pPr>
            <w:r w:rsidRPr="00BA272D">
              <w:rPr>
                <w:rFonts w:ascii="Arial" w:hAnsi="Arial" w:cs="Arial"/>
                <w:bCs/>
                <w:color w:val="000000"/>
                <w:sz w:val="17"/>
                <w:szCs w:val="17"/>
              </w:rPr>
              <w:t>293</w:t>
            </w:r>
          </w:p>
        </w:tc>
      </w:tr>
      <w:tr w:rsidR="00F71E5C" w:rsidRPr="00BA272D"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Bienes Artísticos Inmuebles</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center"/>
              <w:rPr>
                <w:rFonts w:ascii="Arial" w:hAnsi="Arial" w:cs="Arial"/>
                <w:bCs/>
                <w:color w:val="000000"/>
                <w:sz w:val="17"/>
                <w:szCs w:val="17"/>
              </w:rPr>
            </w:pPr>
            <w:r w:rsidRPr="00BA272D">
              <w:rPr>
                <w:rFonts w:ascii="Arial" w:hAnsi="Arial" w:cs="Arial"/>
                <w:bCs/>
                <w:color w:val="000000"/>
                <w:sz w:val="17"/>
                <w:szCs w:val="17"/>
              </w:rPr>
              <w:t>Artístico</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right"/>
              <w:rPr>
                <w:rFonts w:ascii="Arial" w:hAnsi="Arial" w:cs="Arial"/>
                <w:bCs/>
                <w:color w:val="000000"/>
                <w:sz w:val="17"/>
                <w:szCs w:val="17"/>
              </w:rPr>
            </w:pPr>
            <w:r w:rsidRPr="00BA272D">
              <w:rPr>
                <w:rFonts w:ascii="Arial" w:hAnsi="Arial" w:cs="Arial"/>
                <w:bCs/>
                <w:color w:val="000000"/>
                <w:sz w:val="17"/>
                <w:szCs w:val="17"/>
              </w:rPr>
              <w:t>18</w:t>
            </w:r>
          </w:p>
        </w:tc>
      </w:tr>
      <w:tr w:rsidR="00F71E5C" w:rsidRPr="00BA272D"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Bienes Históricos Muebles</w:t>
            </w:r>
          </w:p>
        </w:tc>
        <w:tc>
          <w:tcPr>
            <w:tcW w:w="2180" w:type="dxa"/>
            <w:tcBorders>
              <w:top w:val="nil"/>
              <w:left w:val="nil"/>
              <w:bottom w:val="single" w:sz="4" w:space="0" w:color="auto"/>
              <w:right w:val="single" w:sz="4" w:space="0" w:color="auto"/>
            </w:tcBorders>
            <w:shd w:val="clear" w:color="auto" w:fill="auto"/>
            <w:vAlign w:val="center"/>
            <w:hideMark/>
          </w:tcPr>
          <w:p w:rsidR="00F71E5C" w:rsidRPr="00BA272D" w:rsidRDefault="00F71E5C" w:rsidP="00F71E5C">
            <w:pPr>
              <w:jc w:val="center"/>
              <w:rPr>
                <w:rFonts w:ascii="Arial" w:hAnsi="Arial" w:cs="Arial"/>
                <w:bCs/>
                <w:color w:val="000000"/>
                <w:sz w:val="17"/>
                <w:szCs w:val="17"/>
              </w:rPr>
            </w:pPr>
            <w:r w:rsidRPr="00BA272D">
              <w:rPr>
                <w:rFonts w:ascii="Arial" w:hAnsi="Arial" w:cs="Arial"/>
                <w:bCs/>
                <w:color w:val="000000"/>
                <w:sz w:val="17"/>
                <w:szCs w:val="17"/>
              </w:rPr>
              <w:t>Mueble</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right"/>
              <w:rPr>
                <w:rFonts w:ascii="Arial" w:hAnsi="Arial" w:cs="Arial"/>
                <w:bCs/>
                <w:color w:val="000000"/>
                <w:sz w:val="17"/>
                <w:szCs w:val="17"/>
              </w:rPr>
            </w:pPr>
            <w:r w:rsidRPr="00BA272D">
              <w:rPr>
                <w:rFonts w:ascii="Arial" w:hAnsi="Arial" w:cs="Arial"/>
                <w:bCs/>
                <w:color w:val="000000"/>
                <w:sz w:val="17"/>
                <w:szCs w:val="17"/>
              </w:rPr>
              <w:t>58</w:t>
            </w:r>
          </w:p>
        </w:tc>
      </w:tr>
      <w:tr w:rsidR="00F71E5C" w:rsidRPr="00BA272D"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Bienes Históricos Inmuebles</w:t>
            </w:r>
          </w:p>
        </w:tc>
        <w:tc>
          <w:tcPr>
            <w:tcW w:w="2180" w:type="dxa"/>
            <w:tcBorders>
              <w:top w:val="nil"/>
              <w:left w:val="nil"/>
              <w:bottom w:val="single" w:sz="4" w:space="0" w:color="auto"/>
              <w:right w:val="single" w:sz="4" w:space="0" w:color="auto"/>
            </w:tcBorders>
            <w:shd w:val="clear" w:color="auto" w:fill="auto"/>
            <w:vAlign w:val="center"/>
            <w:hideMark/>
          </w:tcPr>
          <w:p w:rsidR="00F71E5C" w:rsidRPr="00BA272D" w:rsidRDefault="00F71E5C" w:rsidP="00F71E5C">
            <w:pPr>
              <w:jc w:val="center"/>
              <w:rPr>
                <w:rFonts w:ascii="Arial" w:hAnsi="Arial" w:cs="Arial"/>
                <w:bCs/>
                <w:color w:val="000000"/>
                <w:sz w:val="17"/>
                <w:szCs w:val="17"/>
              </w:rPr>
            </w:pPr>
            <w:r w:rsidRPr="00BA272D">
              <w:rPr>
                <w:rFonts w:ascii="Arial" w:hAnsi="Arial" w:cs="Arial"/>
                <w:bCs/>
                <w:color w:val="000000"/>
                <w:sz w:val="17"/>
                <w:szCs w:val="17"/>
              </w:rPr>
              <w:t>Inmuebles</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right"/>
              <w:rPr>
                <w:rFonts w:ascii="Arial" w:hAnsi="Arial" w:cs="Arial"/>
                <w:bCs/>
                <w:color w:val="000000"/>
                <w:sz w:val="17"/>
                <w:szCs w:val="17"/>
              </w:rPr>
            </w:pPr>
            <w:r w:rsidRPr="00BA272D">
              <w:rPr>
                <w:rFonts w:ascii="Arial" w:hAnsi="Arial" w:cs="Arial"/>
                <w:bCs/>
                <w:color w:val="000000"/>
                <w:sz w:val="17"/>
                <w:szCs w:val="17"/>
              </w:rPr>
              <w:t>42</w:t>
            </w:r>
          </w:p>
        </w:tc>
      </w:tr>
      <w:tr w:rsidR="00F71E5C" w:rsidRPr="00BA272D" w:rsidTr="002D088B">
        <w:trPr>
          <w:trHeight w:val="24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71E5C" w:rsidRPr="00BA272D" w:rsidRDefault="00F71E5C" w:rsidP="00F71E5C">
            <w:pPr>
              <w:rPr>
                <w:rFonts w:ascii="Arial" w:hAnsi="Arial" w:cs="Arial"/>
                <w:color w:val="000000"/>
                <w:sz w:val="17"/>
                <w:szCs w:val="17"/>
              </w:rPr>
            </w:pPr>
            <w:r w:rsidRPr="00BA272D">
              <w:rPr>
                <w:rFonts w:ascii="Arial" w:hAnsi="Arial" w:cs="Arial"/>
                <w:color w:val="000000"/>
                <w:sz w:val="17"/>
                <w:szCs w:val="17"/>
              </w:rPr>
              <w:t>Bienes Históricos Documentos y Expedientes</w:t>
            </w:r>
          </w:p>
        </w:tc>
        <w:tc>
          <w:tcPr>
            <w:tcW w:w="2180" w:type="dxa"/>
            <w:tcBorders>
              <w:top w:val="nil"/>
              <w:left w:val="nil"/>
              <w:bottom w:val="single" w:sz="4" w:space="0" w:color="auto"/>
              <w:right w:val="single" w:sz="4" w:space="0" w:color="auto"/>
            </w:tcBorders>
            <w:shd w:val="clear" w:color="auto" w:fill="auto"/>
            <w:vAlign w:val="center"/>
            <w:hideMark/>
          </w:tcPr>
          <w:p w:rsidR="00F71E5C" w:rsidRPr="00BA272D" w:rsidRDefault="00F71E5C" w:rsidP="00F71E5C">
            <w:pPr>
              <w:jc w:val="center"/>
              <w:rPr>
                <w:rFonts w:ascii="Arial" w:hAnsi="Arial" w:cs="Arial"/>
                <w:bCs/>
                <w:color w:val="000000"/>
                <w:sz w:val="17"/>
                <w:szCs w:val="17"/>
              </w:rPr>
            </w:pPr>
            <w:r w:rsidRPr="00BA272D">
              <w:rPr>
                <w:rFonts w:ascii="Arial" w:hAnsi="Arial" w:cs="Arial"/>
                <w:bCs/>
                <w:color w:val="000000"/>
                <w:sz w:val="17"/>
                <w:szCs w:val="17"/>
              </w:rPr>
              <w:t>Documentos</w:t>
            </w:r>
          </w:p>
        </w:tc>
        <w:tc>
          <w:tcPr>
            <w:tcW w:w="2180" w:type="dxa"/>
            <w:tcBorders>
              <w:top w:val="nil"/>
              <w:left w:val="nil"/>
              <w:bottom w:val="single" w:sz="4" w:space="0" w:color="auto"/>
              <w:right w:val="single" w:sz="4" w:space="0" w:color="auto"/>
            </w:tcBorders>
            <w:shd w:val="clear" w:color="auto" w:fill="auto"/>
            <w:vAlign w:val="center"/>
          </w:tcPr>
          <w:p w:rsidR="00F71E5C" w:rsidRPr="00BA272D" w:rsidRDefault="00F71E5C" w:rsidP="00F71E5C">
            <w:pPr>
              <w:jc w:val="right"/>
              <w:rPr>
                <w:rFonts w:ascii="Arial" w:hAnsi="Arial" w:cs="Arial"/>
                <w:bCs/>
                <w:color w:val="000000"/>
                <w:sz w:val="17"/>
                <w:szCs w:val="17"/>
              </w:rPr>
            </w:pPr>
            <w:r w:rsidRPr="00BA272D">
              <w:rPr>
                <w:rFonts w:ascii="Arial" w:hAnsi="Arial" w:cs="Arial"/>
                <w:bCs/>
                <w:color w:val="000000"/>
                <w:sz w:val="17"/>
                <w:szCs w:val="17"/>
              </w:rPr>
              <w:t>2,213</w:t>
            </w:r>
          </w:p>
        </w:tc>
      </w:tr>
    </w:tbl>
    <w:p w:rsidR="00F71E5C" w:rsidRPr="00BA272D" w:rsidRDefault="00F71E5C" w:rsidP="00F36CCF">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Los bienes artísticos muebles; bienes históricos muebles; y los bienes históricos, documentos y expedientes, de conformidad a los Lineamientos para el Registro Auxiliar Sujeto a Inventario de Bienes Arqueológicos, Artísticos e Históricos Bajo Custodia de los Entes Públicos emitidos por el Consejo Nacional de Armonización Contable, se registran en cuentas de orden al valor de la unidad monetaria (un peso).</w:t>
      </w:r>
    </w:p>
    <w:p w:rsidR="00F71E5C" w:rsidRPr="00BA272D" w:rsidRDefault="00F71E5C" w:rsidP="002D088B">
      <w:pPr>
        <w:spacing w:before="80" w:line="25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Los bienes históricos inmuebles se encuentran registrados a valor catastral.</w:t>
      </w:r>
    </w:p>
    <w:p w:rsidR="00F71E5C" w:rsidRPr="00BA272D" w:rsidRDefault="00F71E5C" w:rsidP="002D088B">
      <w:pPr>
        <w:pStyle w:val="Prrafodelista"/>
        <w:numPr>
          <w:ilvl w:val="0"/>
          <w:numId w:val="15"/>
        </w:numPr>
        <w:autoSpaceDE w:val="0"/>
        <w:autoSpaceDN w:val="0"/>
        <w:adjustRightInd w:val="0"/>
        <w:spacing w:before="240" w:after="120"/>
        <w:ind w:left="851" w:firstLine="0"/>
        <w:jc w:val="both"/>
        <w:rPr>
          <w:rFonts w:ascii="Arial" w:hAnsi="Arial" w:cs="Arial"/>
          <w:b/>
          <w:sz w:val="17"/>
          <w:szCs w:val="17"/>
        </w:rPr>
      </w:pPr>
      <w:r w:rsidRPr="00BA272D">
        <w:rPr>
          <w:rFonts w:ascii="Arial" w:hAnsi="Arial" w:cs="Arial"/>
          <w:b/>
          <w:sz w:val="17"/>
          <w:szCs w:val="17"/>
        </w:rPr>
        <w:lastRenderedPageBreak/>
        <w:t>Cuentas de orden presupuestario</w:t>
      </w:r>
    </w:p>
    <w:p w:rsidR="00F71E5C" w:rsidRPr="00BA272D" w:rsidRDefault="00F71E5C" w:rsidP="002D088B">
      <w:pPr>
        <w:spacing w:before="80" w:line="25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Se informa el avance que se registra en las cuentas de orden presupuestarias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w:t>
      </w:r>
    </w:p>
    <w:p w:rsidR="00F71E5C" w:rsidRPr="00BA272D" w:rsidRDefault="00F71E5C" w:rsidP="00F71E5C">
      <w:pPr>
        <w:autoSpaceDE w:val="0"/>
        <w:autoSpaceDN w:val="0"/>
        <w:adjustRightInd w:val="0"/>
        <w:spacing w:before="240" w:after="120"/>
        <w:jc w:val="center"/>
        <w:rPr>
          <w:rFonts w:ascii="Arial" w:eastAsia="Calibri" w:hAnsi="Arial" w:cs="Arial"/>
          <w:b/>
          <w:spacing w:val="-1"/>
          <w:sz w:val="17"/>
          <w:szCs w:val="17"/>
        </w:rPr>
      </w:pPr>
      <w:r w:rsidRPr="00BA272D">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F71E5C" w:rsidRPr="00BA272D" w:rsidTr="00F71E5C">
        <w:trPr>
          <w:trHeight w:val="240"/>
          <w:jc w:val="center"/>
        </w:trPr>
        <w:tc>
          <w:tcPr>
            <w:tcW w:w="4900"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A. Ingresos:</w:t>
            </w:r>
          </w:p>
        </w:tc>
        <w:tc>
          <w:tcPr>
            <w:tcW w:w="2180"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 </w:t>
            </w:r>
          </w:p>
        </w:tc>
      </w:tr>
      <w:tr w:rsidR="00F71E5C" w:rsidRPr="00BA272D"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r>
      <w:tr w:rsidR="00F70628" w:rsidRPr="00BA272D"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Ley de Ingresos Estimada</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36,226,602,984 </w:t>
            </w:r>
          </w:p>
        </w:tc>
      </w:tr>
      <w:tr w:rsidR="00F70628" w:rsidRPr="00BA272D"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Ley de Ingresos por Ejecutar</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   </w:t>
            </w:r>
          </w:p>
        </w:tc>
      </w:tr>
      <w:tr w:rsidR="00F70628" w:rsidRPr="00BA272D"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Modificaciones a la Ley de Ingresos Estimada</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3,370,419,101 </w:t>
            </w:r>
          </w:p>
        </w:tc>
      </w:tr>
      <w:tr w:rsidR="00F70628" w:rsidRPr="00BA272D" w:rsidTr="00F71E5C">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Ley de Ingresos Devengada</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   </w:t>
            </w:r>
          </w:p>
        </w:tc>
      </w:tr>
      <w:tr w:rsidR="00F70628" w:rsidRPr="00BA272D"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Ley de Ingresos Recaudada</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-39,597,022,085 </w:t>
            </w:r>
          </w:p>
        </w:tc>
      </w:tr>
      <w:tr w:rsidR="00F70628" w:rsidRPr="00BA272D"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0628" w:rsidRPr="00C33508" w:rsidRDefault="00F70628" w:rsidP="00F70628">
            <w:pPr>
              <w:jc w:val="center"/>
              <w:rPr>
                <w:rFonts w:ascii="Arial" w:hAnsi="Arial" w:cs="Arial"/>
                <w:b/>
                <w:bCs/>
                <w:color w:val="000000"/>
                <w:sz w:val="17"/>
                <w:szCs w:val="17"/>
              </w:rPr>
            </w:pPr>
            <w:r w:rsidRPr="00C33508">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   </w:t>
            </w:r>
          </w:p>
        </w:tc>
      </w:tr>
    </w:tbl>
    <w:p w:rsidR="00F71E5C" w:rsidRPr="00BA272D" w:rsidRDefault="00F71E5C" w:rsidP="00F71E5C">
      <w:pPr>
        <w:spacing w:before="80" w:line="250" w:lineRule="exact"/>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F71E5C" w:rsidRPr="00BA272D" w:rsidTr="00F71E5C">
        <w:trPr>
          <w:trHeight w:val="240"/>
          <w:jc w:val="center"/>
        </w:trPr>
        <w:tc>
          <w:tcPr>
            <w:tcW w:w="4900"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p>
          <w:p w:rsidR="00F71E5C" w:rsidRDefault="00F71E5C" w:rsidP="00F71E5C">
            <w:pPr>
              <w:rPr>
                <w:rFonts w:ascii="Arial" w:hAnsi="Arial" w:cs="Arial"/>
                <w:b/>
                <w:bCs/>
                <w:color w:val="000000"/>
                <w:sz w:val="17"/>
                <w:szCs w:val="17"/>
              </w:rPr>
            </w:pPr>
            <w:r w:rsidRPr="00BA272D">
              <w:rPr>
                <w:rFonts w:ascii="Arial" w:hAnsi="Arial" w:cs="Arial"/>
                <w:b/>
                <w:bCs/>
                <w:color w:val="000000"/>
                <w:sz w:val="17"/>
                <w:szCs w:val="17"/>
              </w:rPr>
              <w:t>B. Egresos:</w:t>
            </w:r>
          </w:p>
          <w:p w:rsidR="00C33508" w:rsidRPr="00BA272D" w:rsidRDefault="00C33508" w:rsidP="00F71E5C">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F71E5C" w:rsidRPr="00BA272D" w:rsidRDefault="00F71E5C" w:rsidP="00F71E5C">
            <w:pPr>
              <w:rPr>
                <w:rFonts w:ascii="Arial" w:hAnsi="Arial" w:cs="Arial"/>
                <w:b/>
                <w:bCs/>
                <w:color w:val="000000"/>
                <w:sz w:val="17"/>
                <w:szCs w:val="17"/>
              </w:rPr>
            </w:pPr>
            <w:r w:rsidRPr="00BA272D">
              <w:rPr>
                <w:rFonts w:ascii="Arial" w:hAnsi="Arial" w:cs="Arial"/>
                <w:b/>
                <w:bCs/>
                <w:color w:val="000000"/>
                <w:sz w:val="17"/>
                <w:szCs w:val="17"/>
              </w:rPr>
              <w:t> </w:t>
            </w:r>
          </w:p>
        </w:tc>
      </w:tr>
      <w:tr w:rsidR="00F71E5C" w:rsidRPr="00BA272D"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71E5C" w:rsidRPr="00BA272D" w:rsidRDefault="00F71E5C" w:rsidP="00F71E5C">
            <w:pPr>
              <w:jc w:val="center"/>
              <w:rPr>
                <w:rFonts w:ascii="Arial" w:hAnsi="Arial" w:cs="Arial"/>
                <w:b/>
                <w:bCs/>
                <w:color w:val="000000"/>
                <w:sz w:val="17"/>
                <w:szCs w:val="17"/>
              </w:rPr>
            </w:pPr>
            <w:r w:rsidRPr="00BA272D">
              <w:rPr>
                <w:rFonts w:ascii="Arial" w:hAnsi="Arial" w:cs="Arial"/>
                <w:b/>
                <w:bCs/>
                <w:color w:val="000000"/>
                <w:sz w:val="17"/>
                <w:szCs w:val="17"/>
              </w:rPr>
              <w:t>Monto</w:t>
            </w:r>
          </w:p>
        </w:tc>
      </w:tr>
      <w:tr w:rsidR="00F70628" w:rsidRPr="00BA272D"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Presupuesto de Egresos Aprobado</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-39,326,100,768 </w:t>
            </w:r>
          </w:p>
        </w:tc>
      </w:tr>
      <w:tr w:rsidR="00F70628" w:rsidRPr="0037045C"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Presupuesto de Egresos por Ejercer</w:t>
            </w:r>
          </w:p>
        </w:tc>
        <w:tc>
          <w:tcPr>
            <w:tcW w:w="2180" w:type="dxa"/>
            <w:tcBorders>
              <w:top w:val="nil"/>
              <w:left w:val="nil"/>
              <w:bottom w:val="single" w:sz="4" w:space="0" w:color="auto"/>
              <w:right w:val="single" w:sz="4" w:space="0" w:color="auto"/>
            </w:tcBorders>
            <w:shd w:val="clear" w:color="000000" w:fill="FFFFFF"/>
          </w:tcPr>
          <w:p w:rsidR="00F70628" w:rsidRPr="00C33508" w:rsidRDefault="001E6B16" w:rsidP="00F70628">
            <w:pPr>
              <w:jc w:val="right"/>
              <w:rPr>
                <w:rFonts w:ascii="Arial" w:hAnsi="Arial" w:cs="Arial"/>
                <w:sz w:val="17"/>
                <w:szCs w:val="17"/>
              </w:rPr>
            </w:pPr>
            <w:r w:rsidRPr="00C33508">
              <w:rPr>
                <w:rFonts w:ascii="Arial" w:hAnsi="Arial" w:cs="Arial"/>
                <w:sz w:val="17"/>
                <w:szCs w:val="17"/>
              </w:rPr>
              <w:t>2,721,984,096</w:t>
            </w:r>
            <w:r w:rsidR="00F70628" w:rsidRPr="00C33508">
              <w:rPr>
                <w:rFonts w:ascii="Arial" w:hAnsi="Arial" w:cs="Arial"/>
                <w:sz w:val="17"/>
                <w:szCs w:val="17"/>
              </w:rPr>
              <w:t xml:space="preserve"> </w:t>
            </w:r>
          </w:p>
        </w:tc>
      </w:tr>
      <w:tr w:rsidR="00F70628" w:rsidRPr="00BA272D"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Modificaciones al Presupuesto de Egresos Aprobado</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-3,642,427,829 </w:t>
            </w:r>
          </w:p>
        </w:tc>
      </w:tr>
      <w:tr w:rsidR="00F70628" w:rsidRPr="00BA272D"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Presupuesto de Egresos Comprometido</w:t>
            </w:r>
          </w:p>
        </w:tc>
        <w:tc>
          <w:tcPr>
            <w:tcW w:w="2180" w:type="dxa"/>
            <w:tcBorders>
              <w:top w:val="nil"/>
              <w:left w:val="nil"/>
              <w:bottom w:val="single" w:sz="4" w:space="0" w:color="auto"/>
              <w:right w:val="single" w:sz="4" w:space="0" w:color="auto"/>
            </w:tcBorders>
            <w:shd w:val="clear" w:color="000000" w:fill="FFFFFF"/>
          </w:tcPr>
          <w:p w:rsidR="00F70628" w:rsidRPr="00C33508" w:rsidRDefault="00C33508" w:rsidP="00F70628">
            <w:pPr>
              <w:jc w:val="right"/>
              <w:rPr>
                <w:rFonts w:ascii="Arial" w:hAnsi="Arial" w:cs="Arial"/>
                <w:sz w:val="17"/>
                <w:szCs w:val="17"/>
              </w:rPr>
            </w:pPr>
            <w:r w:rsidRPr="00C33508">
              <w:rPr>
                <w:rFonts w:ascii="Arial" w:hAnsi="Arial" w:cs="Arial"/>
                <w:sz w:val="17"/>
                <w:szCs w:val="17"/>
              </w:rPr>
              <w:t>0</w:t>
            </w:r>
            <w:r w:rsidR="00F70628" w:rsidRPr="00C33508">
              <w:rPr>
                <w:rFonts w:ascii="Arial" w:hAnsi="Arial" w:cs="Arial"/>
                <w:sz w:val="17"/>
                <w:szCs w:val="17"/>
              </w:rPr>
              <w:t xml:space="preserve"> </w:t>
            </w:r>
          </w:p>
        </w:tc>
      </w:tr>
      <w:tr w:rsidR="00F70628" w:rsidRPr="00BA272D"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Presupuesto de Egresos Devengado</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149,767,329 </w:t>
            </w:r>
          </w:p>
        </w:tc>
      </w:tr>
      <w:tr w:rsidR="00F70628" w:rsidRPr="00BA272D" w:rsidTr="00F920C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Presupuesto de Egresos Ejercido</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   </w:t>
            </w:r>
          </w:p>
        </w:tc>
      </w:tr>
      <w:tr w:rsidR="00F70628" w:rsidRPr="00BA272D"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0628" w:rsidRPr="00C33508" w:rsidRDefault="00F70628" w:rsidP="00F70628">
            <w:pPr>
              <w:rPr>
                <w:rFonts w:ascii="Arial" w:hAnsi="Arial" w:cs="Arial"/>
                <w:color w:val="000000"/>
                <w:sz w:val="17"/>
                <w:szCs w:val="17"/>
              </w:rPr>
            </w:pPr>
            <w:r w:rsidRPr="00C33508">
              <w:rPr>
                <w:rFonts w:ascii="Arial" w:hAnsi="Arial" w:cs="Arial"/>
                <w:color w:val="000000"/>
                <w:sz w:val="17"/>
                <w:szCs w:val="17"/>
              </w:rPr>
              <w:t>Presupuesto de Egresos Pagado</w:t>
            </w:r>
          </w:p>
        </w:tc>
        <w:tc>
          <w:tcPr>
            <w:tcW w:w="2180" w:type="dxa"/>
            <w:tcBorders>
              <w:top w:val="nil"/>
              <w:left w:val="nil"/>
              <w:bottom w:val="single" w:sz="4" w:space="0" w:color="auto"/>
              <w:right w:val="single" w:sz="4" w:space="0" w:color="auto"/>
            </w:tcBorders>
            <w:shd w:val="clear" w:color="000000" w:fill="FFFFFF"/>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40,096,777,172 </w:t>
            </w:r>
          </w:p>
        </w:tc>
      </w:tr>
      <w:tr w:rsidR="00F70628" w:rsidRPr="00BA272D" w:rsidTr="00C335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0628" w:rsidRPr="00C33508" w:rsidRDefault="00F70628" w:rsidP="00F70628">
            <w:pPr>
              <w:jc w:val="center"/>
              <w:rPr>
                <w:rFonts w:ascii="Arial" w:hAnsi="Arial" w:cs="Arial"/>
                <w:b/>
                <w:bCs/>
                <w:color w:val="000000"/>
                <w:sz w:val="17"/>
                <w:szCs w:val="17"/>
              </w:rPr>
            </w:pPr>
            <w:r w:rsidRPr="00C33508">
              <w:rPr>
                <w:rFonts w:ascii="Arial" w:hAnsi="Arial" w:cs="Arial"/>
                <w:b/>
                <w:bCs/>
                <w:color w:val="000000"/>
                <w:sz w:val="17"/>
                <w:szCs w:val="17"/>
              </w:rPr>
              <w:t>Total</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0628" w:rsidRPr="00C33508" w:rsidRDefault="00F70628" w:rsidP="00F70628">
            <w:pPr>
              <w:jc w:val="right"/>
              <w:rPr>
                <w:rFonts w:ascii="Arial" w:hAnsi="Arial" w:cs="Arial"/>
                <w:sz w:val="17"/>
                <w:szCs w:val="17"/>
              </w:rPr>
            </w:pPr>
            <w:r w:rsidRPr="00C33508">
              <w:rPr>
                <w:rFonts w:ascii="Arial" w:hAnsi="Arial" w:cs="Arial"/>
                <w:sz w:val="17"/>
                <w:szCs w:val="17"/>
              </w:rPr>
              <w:t xml:space="preserve"> -   </w:t>
            </w:r>
          </w:p>
        </w:tc>
      </w:tr>
    </w:tbl>
    <w:p w:rsidR="00D126B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rsidR="00D126B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rsidR="00D126B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rsidR="00D126B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rsidR="00D126B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4B105F" w:rsidRDefault="004B105F" w:rsidP="002D088B">
      <w:pPr>
        <w:pStyle w:val="Prrafodelista"/>
        <w:autoSpaceDE w:val="0"/>
        <w:autoSpaceDN w:val="0"/>
        <w:adjustRightInd w:val="0"/>
        <w:spacing w:before="240" w:after="120"/>
        <w:ind w:left="851" w:right="-1559"/>
        <w:jc w:val="center"/>
        <w:rPr>
          <w:rFonts w:ascii="Arial" w:hAnsi="Arial" w:cs="Arial"/>
          <w:b/>
          <w:sz w:val="17"/>
          <w:szCs w:val="17"/>
        </w:rPr>
      </w:pPr>
    </w:p>
    <w:p w:rsidR="00D126BC" w:rsidRDefault="00D126BC" w:rsidP="002D088B">
      <w:pPr>
        <w:pStyle w:val="Prrafodelista"/>
        <w:autoSpaceDE w:val="0"/>
        <w:autoSpaceDN w:val="0"/>
        <w:adjustRightInd w:val="0"/>
        <w:spacing w:before="240" w:after="120"/>
        <w:ind w:left="851" w:right="-1559"/>
        <w:jc w:val="center"/>
        <w:rPr>
          <w:rFonts w:ascii="Arial" w:hAnsi="Arial" w:cs="Arial"/>
          <w:b/>
          <w:sz w:val="17"/>
          <w:szCs w:val="17"/>
        </w:rPr>
      </w:pPr>
    </w:p>
    <w:p w:rsidR="00F71E5C" w:rsidRPr="00BA272D" w:rsidRDefault="00ED0269" w:rsidP="002D088B">
      <w:pPr>
        <w:pStyle w:val="Prrafodelista"/>
        <w:autoSpaceDE w:val="0"/>
        <w:autoSpaceDN w:val="0"/>
        <w:adjustRightInd w:val="0"/>
        <w:spacing w:before="240" w:after="120"/>
        <w:ind w:left="851" w:right="-1559"/>
        <w:jc w:val="center"/>
        <w:rPr>
          <w:rFonts w:ascii="Arial" w:hAnsi="Arial" w:cs="Arial"/>
          <w:b/>
          <w:sz w:val="17"/>
          <w:szCs w:val="17"/>
        </w:rPr>
      </w:pPr>
      <w:r>
        <w:rPr>
          <w:rFonts w:ascii="Arial" w:hAnsi="Arial" w:cs="Arial"/>
          <w:b/>
          <w:sz w:val="17"/>
          <w:szCs w:val="17"/>
        </w:rPr>
        <w:lastRenderedPageBreak/>
        <w:t>N</w:t>
      </w:r>
      <w:r w:rsidR="00F71E5C" w:rsidRPr="00BA272D">
        <w:rPr>
          <w:rFonts w:ascii="Arial" w:hAnsi="Arial" w:cs="Arial"/>
          <w:b/>
          <w:sz w:val="17"/>
          <w:szCs w:val="17"/>
        </w:rPr>
        <w:t>otas de Gestión Administrativa:</w:t>
      </w:r>
    </w:p>
    <w:p w:rsidR="00F71E5C" w:rsidRPr="00BA272D" w:rsidRDefault="00F71E5C" w:rsidP="002D088B">
      <w:pPr>
        <w:pStyle w:val="Prrafodelista"/>
        <w:numPr>
          <w:ilvl w:val="0"/>
          <w:numId w:val="11"/>
        </w:numPr>
        <w:spacing w:before="120" w:after="120" w:line="240" w:lineRule="exact"/>
        <w:ind w:left="851" w:right="-1559" w:firstLine="0"/>
        <w:jc w:val="both"/>
        <w:rPr>
          <w:rFonts w:ascii="Arial" w:eastAsia="Calibri" w:hAnsi="Arial" w:cs="Arial"/>
          <w:spacing w:val="-1"/>
          <w:sz w:val="17"/>
          <w:szCs w:val="17"/>
        </w:rPr>
      </w:pPr>
      <w:r w:rsidRPr="00BA272D">
        <w:rPr>
          <w:rFonts w:ascii="Arial" w:eastAsia="Calibri" w:hAnsi="Arial" w:cs="Arial"/>
          <w:b/>
          <w:spacing w:val="-1"/>
          <w:sz w:val="17"/>
          <w:szCs w:val="17"/>
        </w:rPr>
        <w:t>Introducción</w:t>
      </w:r>
    </w:p>
    <w:p w:rsidR="00F71E5C" w:rsidRPr="00BA272D" w:rsidRDefault="00F71E5C" w:rsidP="002D088B">
      <w:pPr>
        <w:pStyle w:val="Prrafodelista"/>
        <w:spacing w:before="120" w:after="120" w:line="240" w:lineRule="exact"/>
        <w:ind w:left="851" w:right="-1559"/>
        <w:jc w:val="both"/>
        <w:rPr>
          <w:rFonts w:ascii="Arial" w:eastAsia="Calibri" w:hAnsi="Arial" w:cs="Arial"/>
          <w:spacing w:val="-1"/>
          <w:sz w:val="17"/>
          <w:szCs w:val="17"/>
        </w:rPr>
      </w:pPr>
      <w:r w:rsidRPr="00BA272D">
        <w:rPr>
          <w:rFonts w:ascii="Arial" w:eastAsia="Calibri" w:hAnsi="Arial" w:cs="Arial"/>
          <w:spacing w:val="-1"/>
          <w:sz w:val="17"/>
          <w:szCs w:val="17"/>
        </w:rPr>
        <w:tab/>
      </w:r>
    </w:p>
    <w:p w:rsidR="00F71E5C" w:rsidRPr="00BA272D" w:rsidRDefault="00F71E5C" w:rsidP="00F36CCF">
      <w:pPr>
        <w:spacing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764A61" w:rsidRDefault="00764A61" w:rsidP="00F36CCF">
      <w:pPr>
        <w:spacing w:line="240" w:lineRule="exact"/>
        <w:ind w:left="851"/>
        <w:jc w:val="both"/>
        <w:rPr>
          <w:rFonts w:ascii="Arial" w:eastAsia="Calibri" w:hAnsi="Arial" w:cs="Arial"/>
          <w:spacing w:val="-1"/>
          <w:sz w:val="17"/>
          <w:szCs w:val="17"/>
        </w:rPr>
      </w:pPr>
    </w:p>
    <w:p w:rsidR="00F71E5C" w:rsidRPr="00BA272D" w:rsidRDefault="00F71E5C" w:rsidP="00F36CCF">
      <w:pPr>
        <w:spacing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El objetivo del presente documento es la revelación del contexto y de los aspectos económicos financieros más relevantes que influyeron en las decisiones del período, que comprende del 1 de enero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y que se consideraron en la elaboración de los Estados Financieros para la mayor comprensión de los mismos y sus particularidades.</w:t>
      </w:r>
    </w:p>
    <w:p w:rsidR="00D01389" w:rsidRPr="00BA272D" w:rsidRDefault="00D01389" w:rsidP="002D088B">
      <w:pPr>
        <w:spacing w:line="240" w:lineRule="exact"/>
        <w:ind w:left="851" w:right="-1559"/>
        <w:jc w:val="both"/>
        <w:rPr>
          <w:rFonts w:ascii="Arial" w:eastAsia="Calibri" w:hAnsi="Arial" w:cs="Arial"/>
          <w:spacing w:val="-1"/>
          <w:sz w:val="17"/>
          <w:szCs w:val="17"/>
        </w:rPr>
      </w:pPr>
    </w:p>
    <w:p w:rsidR="00F71E5C" w:rsidRDefault="00F71E5C" w:rsidP="00F36CCF">
      <w:pPr>
        <w:spacing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CC6521" w:rsidRDefault="00CC6521" w:rsidP="00ED0269">
      <w:pPr>
        <w:spacing w:line="240" w:lineRule="exact"/>
        <w:ind w:left="567"/>
        <w:jc w:val="both"/>
        <w:rPr>
          <w:rFonts w:ascii="Arial" w:eastAsia="Calibri" w:hAnsi="Arial" w:cs="Arial"/>
          <w:spacing w:val="-1"/>
          <w:sz w:val="17"/>
          <w:szCs w:val="17"/>
        </w:rPr>
      </w:pPr>
    </w:p>
    <w:p w:rsidR="00CC6521" w:rsidRPr="00BA272D" w:rsidRDefault="00CC6521" w:rsidP="002D088B">
      <w:pPr>
        <w:spacing w:line="240" w:lineRule="exact"/>
        <w:ind w:left="851" w:right="-1559"/>
        <w:jc w:val="both"/>
        <w:rPr>
          <w:rFonts w:ascii="Arial" w:eastAsia="Calibri" w:hAnsi="Arial" w:cs="Arial"/>
          <w:spacing w:val="-1"/>
          <w:sz w:val="17"/>
          <w:szCs w:val="17"/>
        </w:rPr>
      </w:pPr>
      <w:r>
        <w:rPr>
          <w:rFonts w:ascii="Arial" w:eastAsia="Calibri" w:hAnsi="Arial" w:cs="Arial"/>
          <w:spacing w:val="-1"/>
          <w:sz w:val="17"/>
          <w:szCs w:val="17"/>
        </w:rPr>
        <w:t>Se informa que el 1° de octubre de 2021 se realizó el cambio de administración del Poder Ejecutivo del Estado de Querétaro para el sexenio 2021 – 2027.</w:t>
      </w:r>
    </w:p>
    <w:p w:rsidR="00D01389" w:rsidRPr="00BA272D" w:rsidRDefault="00D01389" w:rsidP="00ED0269">
      <w:pPr>
        <w:spacing w:line="240" w:lineRule="exact"/>
        <w:ind w:left="567"/>
        <w:jc w:val="both"/>
        <w:rPr>
          <w:rFonts w:ascii="Arial" w:eastAsia="Calibri" w:hAnsi="Arial" w:cs="Arial"/>
          <w:spacing w:val="-1"/>
          <w:sz w:val="17"/>
          <w:szCs w:val="17"/>
        </w:rPr>
      </w:pPr>
    </w:p>
    <w:p w:rsidR="00F71E5C" w:rsidRPr="00BA272D" w:rsidRDefault="00F71E5C" w:rsidP="00786799">
      <w:pPr>
        <w:pStyle w:val="Prrafodelista"/>
        <w:numPr>
          <w:ilvl w:val="0"/>
          <w:numId w:val="11"/>
        </w:numPr>
        <w:spacing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t>Panorama económico y financiero</w:t>
      </w:r>
    </w:p>
    <w:p w:rsidR="00F71E5C" w:rsidRPr="00BA272D" w:rsidRDefault="00F71E5C" w:rsidP="00786799">
      <w:pPr>
        <w:pStyle w:val="Prrafodelista"/>
        <w:spacing w:line="240" w:lineRule="exact"/>
        <w:ind w:left="851"/>
        <w:jc w:val="both"/>
        <w:rPr>
          <w:rFonts w:ascii="Arial" w:eastAsia="Calibri" w:hAnsi="Arial" w:cs="Arial"/>
          <w:b/>
          <w:spacing w:val="-1"/>
          <w:sz w:val="17"/>
          <w:szCs w:val="17"/>
          <w:highlight w:val="yellow"/>
        </w:rPr>
      </w:pPr>
    </w:p>
    <w:p w:rsidR="00CD33E9" w:rsidRPr="00BA272D" w:rsidRDefault="00CD33E9" w:rsidP="00786799">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De acuerdo al informe trimestral del Banco de México (BANXICO) correspondiente al tercer trimestre de 2021 (3T-2021) emitido el pasado 01 de diciembre de 2021, menciona que se ha buscado conducir la política monetaria de forma prudente y oportuna, a fin de evitar afectaciones en las expectativas de inflación de mayor plazo y procurar un ajuste ordenado en precios relativos y en los mercados financieros.</w:t>
      </w:r>
    </w:p>
    <w:p w:rsidR="00CD33E9" w:rsidRPr="00BA272D" w:rsidRDefault="00CD33E9" w:rsidP="00786799">
      <w:pPr>
        <w:spacing w:before="80" w:line="240" w:lineRule="exact"/>
        <w:ind w:left="851"/>
        <w:rPr>
          <w:rFonts w:ascii="Arial" w:eastAsia="Calibri" w:hAnsi="Arial" w:cs="Arial"/>
          <w:spacing w:val="-1"/>
          <w:sz w:val="17"/>
          <w:szCs w:val="17"/>
        </w:rPr>
      </w:pPr>
    </w:p>
    <w:p w:rsidR="00CD33E9" w:rsidRPr="00BA272D" w:rsidRDefault="00CD33E9" w:rsidP="00786799">
      <w:pPr>
        <w:spacing w:before="80" w:line="240" w:lineRule="exact"/>
        <w:ind w:left="851"/>
        <w:jc w:val="both"/>
        <w:rPr>
          <w:rFonts w:ascii="Arial" w:eastAsia="Calibri" w:hAnsi="Arial" w:cs="Arial"/>
          <w:spacing w:val="-1"/>
          <w:sz w:val="17"/>
          <w:szCs w:val="17"/>
        </w:rPr>
      </w:pPr>
      <w:r w:rsidRPr="00D126BC">
        <w:rPr>
          <w:rFonts w:ascii="Arial" w:eastAsia="Calibri" w:hAnsi="Arial" w:cs="Arial"/>
          <w:spacing w:val="-1"/>
          <w:sz w:val="17"/>
          <w:szCs w:val="17"/>
        </w:rPr>
        <w:t>A nivel global</w:t>
      </w:r>
      <w:r w:rsidRPr="00BA272D">
        <w:rPr>
          <w:rFonts w:ascii="Arial" w:eastAsia="Calibri" w:hAnsi="Arial" w:cs="Arial"/>
          <w:spacing w:val="-1"/>
          <w:sz w:val="17"/>
          <w:szCs w:val="17"/>
        </w:rPr>
        <w:t xml:space="preserve"> las presiones inflacionarias se intensificaron, ello debido a los efectos directos e indirectos de la pandemia y de las medidas de apoyo al gasto adoptadas, especialmente en las economías avanzadas. La interrupción de actividades productivas propició importantes cuellos de botella en las cadenas de suministro, que se han visto ampliados por una reasignación del gasto de los hogares de los servicios hacia los bienes de consumo duraderos. Asimismo, se han presentado mayores costos de transporte y distribución, y un incremento en los precios de las materias primas, especialmente de los energéticos. Este ambiente internacional de presiones de precios se ha reflejado en una mayor inflación en nuestro país, la cual se ubica en niveles elevados y ha propiciado un aumento en las expectativas de inflación, especialmente en las de corto plazo y recientemente ajustes marginales en las de mediano plazo.</w:t>
      </w:r>
    </w:p>
    <w:p w:rsidR="00CD33E9" w:rsidRPr="00BA272D" w:rsidRDefault="00CD33E9" w:rsidP="00786799">
      <w:pPr>
        <w:spacing w:before="80" w:line="240" w:lineRule="exact"/>
        <w:ind w:left="851"/>
        <w:rPr>
          <w:rFonts w:ascii="Arial" w:eastAsia="Calibri" w:hAnsi="Arial" w:cs="Arial"/>
          <w:spacing w:val="-1"/>
          <w:sz w:val="17"/>
          <w:szCs w:val="17"/>
        </w:rPr>
      </w:pPr>
    </w:p>
    <w:p w:rsidR="00CD33E9" w:rsidRDefault="00CD33E9" w:rsidP="00786799">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Aunado a lo anterior, las condiciones externas las cuales se ven reflejadas por la actividad económica global continuaron recuperándose durante el 3T-2021, aunque a un ritmo menor al registrado en el trimestre previo y con heterogeneidad entre países por la evolución de la pandemia y los estímulos al gasto. Las perspectivas de crecimiento para la economía mundial en su conjunto se revisaron ligeramente a la baja para 2021. Lo anterior, como reflejo de las menores expectativas de crecimiento para algunas economías avanzadas, mientras que las perspectivas para economías emergentes mejoraron marginalmente.</w:t>
      </w:r>
    </w:p>
    <w:p w:rsidR="004B105F" w:rsidRDefault="004B105F" w:rsidP="00786799">
      <w:pPr>
        <w:spacing w:before="80" w:line="240" w:lineRule="exact"/>
        <w:ind w:left="851"/>
        <w:jc w:val="both"/>
        <w:rPr>
          <w:rFonts w:ascii="Arial" w:eastAsia="Calibri" w:hAnsi="Arial" w:cs="Arial"/>
          <w:spacing w:val="-1"/>
          <w:sz w:val="17"/>
          <w:szCs w:val="17"/>
        </w:rPr>
      </w:pPr>
    </w:p>
    <w:p w:rsidR="004B105F" w:rsidRDefault="004B105F" w:rsidP="00786799">
      <w:pPr>
        <w:spacing w:before="80" w:line="240" w:lineRule="exact"/>
        <w:ind w:left="851"/>
        <w:jc w:val="both"/>
        <w:rPr>
          <w:rFonts w:ascii="Arial" w:eastAsia="Calibri" w:hAnsi="Arial" w:cs="Arial"/>
          <w:spacing w:val="-1"/>
          <w:sz w:val="17"/>
          <w:szCs w:val="17"/>
        </w:rPr>
      </w:pPr>
    </w:p>
    <w:p w:rsidR="004B105F" w:rsidRDefault="004B105F" w:rsidP="00786799">
      <w:pPr>
        <w:spacing w:before="80" w:line="240" w:lineRule="exact"/>
        <w:ind w:left="851"/>
        <w:jc w:val="both"/>
        <w:rPr>
          <w:rFonts w:ascii="Arial" w:eastAsia="Calibri" w:hAnsi="Arial" w:cs="Arial"/>
          <w:spacing w:val="-1"/>
          <w:sz w:val="17"/>
          <w:szCs w:val="17"/>
        </w:rPr>
      </w:pPr>
    </w:p>
    <w:p w:rsidR="004B105F" w:rsidRDefault="004B105F" w:rsidP="00786799">
      <w:pPr>
        <w:spacing w:before="80" w:line="240" w:lineRule="exact"/>
        <w:ind w:left="851"/>
        <w:jc w:val="both"/>
        <w:rPr>
          <w:rFonts w:ascii="Arial" w:eastAsia="Calibri" w:hAnsi="Arial" w:cs="Arial"/>
          <w:spacing w:val="-1"/>
          <w:sz w:val="17"/>
          <w:szCs w:val="17"/>
        </w:rPr>
      </w:pPr>
    </w:p>
    <w:p w:rsidR="00CD33E9" w:rsidRPr="00BA272D" w:rsidRDefault="00CD33E9" w:rsidP="004B105F">
      <w:pPr>
        <w:spacing w:line="240" w:lineRule="exact"/>
        <w:jc w:val="both"/>
        <w:rPr>
          <w:rFonts w:ascii="Arial" w:eastAsia="Calibri" w:hAnsi="Arial" w:cs="Arial"/>
          <w:spacing w:val="-1"/>
          <w:sz w:val="17"/>
          <w:szCs w:val="17"/>
        </w:rPr>
      </w:pPr>
    </w:p>
    <w:p w:rsidR="00D01389" w:rsidRPr="00BA272D" w:rsidRDefault="00D01389" w:rsidP="00ED0269">
      <w:pPr>
        <w:spacing w:line="240" w:lineRule="exact"/>
        <w:ind w:left="567"/>
        <w:jc w:val="both"/>
        <w:rPr>
          <w:rFonts w:ascii="Arial" w:eastAsia="Calibri" w:hAnsi="Arial" w:cs="Arial"/>
          <w:spacing w:val="-1"/>
          <w:sz w:val="17"/>
          <w:szCs w:val="17"/>
        </w:rPr>
      </w:pPr>
      <w:r w:rsidRPr="00BA272D">
        <w:rPr>
          <w:rFonts w:ascii="Arial" w:eastAsia="Calibri" w:hAnsi="Arial" w:cs="Arial"/>
          <w:noProof/>
          <w:spacing w:val="-1"/>
          <w:sz w:val="17"/>
          <w:szCs w:val="17"/>
        </w:rPr>
        <w:lastRenderedPageBreak/>
        <w:drawing>
          <wp:anchor distT="0" distB="0" distL="114300" distR="114300" simplePos="0" relativeHeight="251664384" behindDoc="1" locked="0" layoutInCell="1" allowOverlap="1" wp14:anchorId="0F08FC4C" wp14:editId="66C396A5">
            <wp:simplePos x="0" y="0"/>
            <wp:positionH relativeFrom="column">
              <wp:posOffset>3399979</wp:posOffset>
            </wp:positionH>
            <wp:positionV relativeFrom="paragraph">
              <wp:posOffset>11052</wp:posOffset>
            </wp:positionV>
            <wp:extent cx="5505450" cy="2847914"/>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a.PNG"/>
                    <pic:cNvPicPr/>
                  </pic:nvPicPr>
                  <pic:blipFill>
                    <a:blip r:embed="rId8">
                      <a:extLst>
                        <a:ext uri="{28A0092B-C50C-407E-A947-70E740481C1C}">
                          <a14:useLocalDpi xmlns:a14="http://schemas.microsoft.com/office/drawing/2010/main" val="0"/>
                        </a:ext>
                      </a:extLst>
                    </a:blip>
                    <a:stretch>
                      <a:fillRect/>
                    </a:stretch>
                  </pic:blipFill>
                  <pic:spPr>
                    <a:xfrm>
                      <a:off x="0" y="0"/>
                      <a:ext cx="5505450" cy="2847914"/>
                    </a:xfrm>
                    <a:prstGeom prst="rect">
                      <a:avLst/>
                    </a:prstGeom>
                  </pic:spPr>
                </pic:pic>
              </a:graphicData>
            </a:graphic>
            <wp14:sizeRelH relativeFrom="page">
              <wp14:pctWidth>0</wp14:pctWidth>
            </wp14:sizeRelH>
            <wp14:sizeRelV relativeFrom="page">
              <wp14:pctHeight>0</wp14:pctHeight>
            </wp14:sizeRelV>
          </wp:anchor>
        </w:drawing>
      </w:r>
    </w:p>
    <w:p w:rsidR="00D01389" w:rsidRPr="00BA272D" w:rsidRDefault="00D01389" w:rsidP="00ED0269">
      <w:pPr>
        <w:tabs>
          <w:tab w:val="left" w:pos="8400"/>
        </w:tabs>
        <w:spacing w:line="240" w:lineRule="exact"/>
        <w:ind w:left="567" w:firstLine="6372"/>
        <w:jc w:val="both"/>
        <w:rPr>
          <w:rFonts w:ascii="Arial" w:eastAsia="Calibri" w:hAnsi="Arial" w:cs="Arial"/>
          <w:spacing w:val="-1"/>
          <w:sz w:val="17"/>
          <w:szCs w:val="17"/>
        </w:rPr>
      </w:pPr>
      <w:r w:rsidRPr="00BA272D">
        <w:rPr>
          <w:rFonts w:ascii="Arial" w:hAnsi="Arial" w:cs="Arial"/>
          <w:noProof/>
          <w:sz w:val="17"/>
          <w:szCs w:val="17"/>
        </w:rPr>
        <w:drawing>
          <wp:anchor distT="0" distB="0" distL="114300" distR="114300" simplePos="0" relativeHeight="251665408" behindDoc="0" locked="0" layoutInCell="1" allowOverlap="1" wp14:anchorId="78772A21" wp14:editId="0E982D4D">
            <wp:simplePos x="0" y="0"/>
            <wp:positionH relativeFrom="column">
              <wp:posOffset>70485</wp:posOffset>
            </wp:positionH>
            <wp:positionV relativeFrom="paragraph">
              <wp:posOffset>49530</wp:posOffset>
            </wp:positionV>
            <wp:extent cx="3076575" cy="239077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953"/>
                    <a:stretch/>
                  </pic:blipFill>
                  <pic:spPr bwMode="auto">
                    <a:xfrm>
                      <a:off x="0" y="0"/>
                      <a:ext cx="3076575"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272D">
        <w:rPr>
          <w:rFonts w:ascii="Arial" w:eastAsia="Calibri" w:hAnsi="Arial" w:cs="Arial"/>
          <w:spacing w:val="-1"/>
          <w:sz w:val="17"/>
          <w:szCs w:val="17"/>
        </w:rPr>
        <w:t xml:space="preserve">Variación del PIB 2021 3T por Actividad Económica </w:t>
      </w:r>
    </w:p>
    <w:p w:rsidR="00D01389" w:rsidRPr="00BA272D" w:rsidRDefault="00D01389" w:rsidP="00ED0269">
      <w:pPr>
        <w:spacing w:line="240" w:lineRule="exact"/>
        <w:ind w:left="567"/>
        <w:jc w:val="both"/>
        <w:rPr>
          <w:rFonts w:ascii="Arial" w:eastAsia="Calibri" w:hAnsi="Arial" w:cs="Arial"/>
          <w:spacing w:val="-1"/>
          <w:sz w:val="17"/>
          <w:szCs w:val="17"/>
        </w:rPr>
      </w:pPr>
    </w:p>
    <w:p w:rsidR="00D01389" w:rsidRPr="00BA272D" w:rsidRDefault="00D01389" w:rsidP="00ED0269">
      <w:pPr>
        <w:spacing w:line="240" w:lineRule="exact"/>
        <w:ind w:left="567"/>
        <w:jc w:val="center"/>
        <w:rPr>
          <w:rFonts w:ascii="Arial" w:eastAsia="Calibri" w:hAnsi="Arial" w:cs="Arial"/>
          <w:spacing w:val="-1"/>
          <w:sz w:val="17"/>
          <w:szCs w:val="17"/>
        </w:rPr>
      </w:pPr>
      <w:r w:rsidRPr="00BA272D">
        <w:rPr>
          <w:rFonts w:ascii="Arial" w:eastAsia="Calibri" w:hAnsi="Arial" w:cs="Arial"/>
          <w:spacing w:val="-1"/>
          <w:sz w:val="17"/>
          <w:szCs w:val="17"/>
        </w:rPr>
        <w:t xml:space="preserve">Fuente: </w:t>
      </w:r>
      <w:r w:rsidR="00870678" w:rsidRPr="00BA272D">
        <w:rPr>
          <w:rFonts w:ascii="Arial" w:eastAsia="Calibri" w:hAnsi="Arial" w:cs="Arial"/>
          <w:spacing w:val="-1"/>
          <w:sz w:val="17"/>
          <w:szCs w:val="17"/>
        </w:rPr>
        <w:t>INEGI</w:t>
      </w:r>
    </w:p>
    <w:p w:rsidR="00CD33E9" w:rsidRPr="00BA272D" w:rsidRDefault="00CD33E9" w:rsidP="00ED0269">
      <w:pPr>
        <w:spacing w:line="240" w:lineRule="exact"/>
        <w:ind w:left="567"/>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4B105F" w:rsidRDefault="004B105F"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D126BC">
        <w:rPr>
          <w:rFonts w:ascii="Arial" w:eastAsia="Calibri" w:hAnsi="Arial" w:cs="Arial"/>
          <w:spacing w:val="-1"/>
          <w:sz w:val="17"/>
          <w:szCs w:val="17"/>
        </w:rPr>
        <w:t>En México,</w:t>
      </w:r>
      <w:r w:rsidRPr="00BA272D">
        <w:rPr>
          <w:rFonts w:ascii="Arial" w:eastAsia="Calibri" w:hAnsi="Arial" w:cs="Arial"/>
          <w:spacing w:val="-1"/>
          <w:sz w:val="17"/>
          <w:szCs w:val="17"/>
        </w:rPr>
        <w:t xml:space="preserve"> en el tercer trimestre de 2021 la actividad económica se contrajo. Este resultado reflejó una desaceleración del ritmo de recuperación de diversos sectores que se puede asociar al recrudecimiento de la pandemia durante el periodo y las continuas disrupciones en las cadenas globales de suministro.</w:t>
      </w:r>
    </w:p>
    <w:p w:rsidR="00764A61" w:rsidRDefault="00764A61"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También fue consecuencia de una fuerte reducción del gasto en los servicios de apoyo a los negocios por la transición a la nueva regulación en materia de subcontratación. Se anticipa que la actividad económica retomará una senda de recuperación. No obstante, se espera que prevalezcan disrupciones en las cadenas globales de suministro, en un entorno de incertidumbre respecto de la evolución de la pandemia y sus efectos en la actividad económica.</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Entre el segundo y el tercer trimestre de 2021, la inflación general anual promedio se mantuvo en niveles elevados, pasando de 5.95 a 5.80% y alcanzando 7.05% en la primera quincena de noviembre, su nivel más elevado desde abril de 2001. Este comportamiento se explica por el incremento que continúa exhibiendo la inflación subyacente, influida por presiones en las mercancías y por los efectos de la reapertura de distintas actividades económicas, lo cual se ha combinado con el repunte de la inflación no subyacente, todo lo anterior se reflejó en el aumento de la inflación de las mercancías y de los servicios.</w:t>
      </w:r>
    </w:p>
    <w:p w:rsidR="00CD33E9" w:rsidRPr="00BA272D" w:rsidRDefault="00CD33E9" w:rsidP="00223F75">
      <w:pPr>
        <w:spacing w:line="240" w:lineRule="exact"/>
        <w:ind w:left="851"/>
        <w:jc w:val="both"/>
        <w:rPr>
          <w:rFonts w:ascii="Arial" w:eastAsia="Calibri" w:hAnsi="Arial" w:cs="Arial"/>
          <w:spacing w:val="-1"/>
          <w:sz w:val="17"/>
          <w:szCs w:val="17"/>
        </w:rPr>
      </w:pPr>
    </w:p>
    <w:p w:rsidR="00D01389" w:rsidRPr="00BA272D" w:rsidRDefault="00D01389" w:rsidP="00223F75">
      <w:pPr>
        <w:spacing w:line="240" w:lineRule="exact"/>
        <w:ind w:left="851"/>
        <w:jc w:val="both"/>
        <w:rPr>
          <w:rFonts w:ascii="Arial" w:eastAsia="Calibri" w:hAnsi="Arial" w:cs="Arial"/>
          <w:spacing w:val="-1"/>
          <w:sz w:val="17"/>
          <w:szCs w:val="17"/>
        </w:rPr>
      </w:pPr>
    </w:p>
    <w:p w:rsidR="00CD33E9" w:rsidRPr="00BA272D" w:rsidRDefault="00CD33E9" w:rsidP="00223F75">
      <w:pPr>
        <w:spacing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Índice Nacional de Precios al Consumidor (INPC) reportó una variación mensual de 0.36% en diciembre de 2021, la más baja para un mes semejante desde 2012, resultado del incremento del componente subyacente -que excluye los elementos cuyos precios sufren grandes fluctuaciones, como los energéticos y alimentos no elaborados- de 0.80%, el mayor para un último mes del año desde 1999, y del descenso de 0.90% del componente no subyacente, la más alta contracción para un mes de diciembre desde que se tiene registro (1982), debido al descenso mensual de los precios de las frutas y verduras de 2.36% y de los energéticos de 2.30%.</w:t>
      </w: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7F460F" w:rsidP="00ED0269">
      <w:pPr>
        <w:spacing w:line="240" w:lineRule="exact"/>
        <w:ind w:left="567"/>
        <w:jc w:val="both"/>
        <w:rPr>
          <w:rFonts w:ascii="Arial" w:eastAsia="Calibri" w:hAnsi="Arial" w:cs="Arial"/>
          <w:spacing w:val="-1"/>
          <w:sz w:val="17"/>
          <w:szCs w:val="17"/>
        </w:rPr>
      </w:pPr>
      <w:r w:rsidRPr="00BA272D">
        <w:rPr>
          <w:rFonts w:ascii="Arial" w:hAnsi="Arial" w:cs="Arial"/>
          <w:noProof/>
          <w:sz w:val="17"/>
          <w:szCs w:val="17"/>
        </w:rPr>
        <w:lastRenderedPageBreak/>
        <w:drawing>
          <wp:anchor distT="0" distB="0" distL="114300" distR="114300" simplePos="0" relativeHeight="251661312" behindDoc="0" locked="0" layoutInCell="1" allowOverlap="1" wp14:anchorId="5E106628" wp14:editId="362BE7CB">
            <wp:simplePos x="0" y="0"/>
            <wp:positionH relativeFrom="column">
              <wp:posOffset>489585</wp:posOffset>
            </wp:positionH>
            <wp:positionV relativeFrom="paragraph">
              <wp:posOffset>13970</wp:posOffset>
            </wp:positionV>
            <wp:extent cx="3067050" cy="23050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719" b="4149"/>
                    <a:stretch/>
                  </pic:blipFill>
                  <pic:spPr bwMode="auto">
                    <a:xfrm>
                      <a:off x="0" y="0"/>
                      <a:ext cx="3067050"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272D">
        <w:rPr>
          <w:rFonts w:ascii="Arial" w:hAnsi="Arial" w:cs="Arial"/>
          <w:noProof/>
          <w:sz w:val="17"/>
          <w:szCs w:val="17"/>
        </w:rPr>
        <w:drawing>
          <wp:anchor distT="0" distB="0" distL="114300" distR="114300" simplePos="0" relativeHeight="251662336" behindDoc="0" locked="0" layoutInCell="1" allowOverlap="1" wp14:anchorId="4D6839BA" wp14:editId="327B6C63">
            <wp:simplePos x="0" y="0"/>
            <wp:positionH relativeFrom="column">
              <wp:posOffset>4032885</wp:posOffset>
            </wp:positionH>
            <wp:positionV relativeFrom="paragraph">
              <wp:posOffset>13970</wp:posOffset>
            </wp:positionV>
            <wp:extent cx="4732932" cy="2390775"/>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32932" cy="2390775"/>
                    </a:xfrm>
                    <a:prstGeom prst="rect">
                      <a:avLst/>
                    </a:prstGeom>
                  </pic:spPr>
                </pic:pic>
              </a:graphicData>
            </a:graphic>
            <wp14:sizeRelH relativeFrom="page">
              <wp14:pctWidth>0</wp14:pctWidth>
            </wp14:sizeRelH>
            <wp14:sizeRelV relativeFrom="page">
              <wp14:pctHeight>0</wp14:pctHeight>
            </wp14:sizeRelV>
          </wp:anchor>
        </w:drawing>
      </w: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CD33E9" w:rsidRPr="00BA272D" w:rsidRDefault="00CD33E9" w:rsidP="00ED0269">
      <w:pPr>
        <w:spacing w:line="240" w:lineRule="exact"/>
        <w:ind w:left="567"/>
        <w:jc w:val="both"/>
        <w:rPr>
          <w:rFonts w:ascii="Arial" w:eastAsia="Calibri" w:hAnsi="Arial" w:cs="Arial"/>
          <w:spacing w:val="-1"/>
          <w:sz w:val="17"/>
          <w:szCs w:val="17"/>
        </w:rPr>
      </w:pPr>
    </w:p>
    <w:p w:rsidR="00D01389" w:rsidRPr="00BA272D" w:rsidRDefault="00D01389" w:rsidP="00ED0269">
      <w:pPr>
        <w:spacing w:line="240" w:lineRule="exact"/>
        <w:ind w:left="567"/>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Así, la inflación general anual en diciembre de 2021 se ubicó en 7.36%. Esta inflación fue menor a la de noviembre pasado de 7.37%, pero es la más alta para un mes similar desde el año 2000; además de encontrarse fuera del rango objetivo del Banco de México.</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D126BC">
        <w:rPr>
          <w:rFonts w:ascii="Arial" w:eastAsia="Calibri" w:hAnsi="Arial" w:cs="Arial"/>
          <w:spacing w:val="-1"/>
          <w:sz w:val="17"/>
          <w:szCs w:val="17"/>
        </w:rPr>
        <w:t xml:space="preserve">Querétaro </w:t>
      </w:r>
      <w:r w:rsidRPr="00BA272D">
        <w:rPr>
          <w:rFonts w:ascii="Arial" w:eastAsia="Calibri" w:hAnsi="Arial" w:cs="Arial"/>
          <w:spacing w:val="-1"/>
          <w:sz w:val="17"/>
          <w:szCs w:val="17"/>
        </w:rPr>
        <w:t>empieza a reportar cifras positivas que permiten a algunos sectores productivos advertir su próxima recuperación, a pesar de la crisis económica que la pandemia sanitaria por Covid-19 originó este año.</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Datos de la Encuesta Mensual de la Industria Manufacturera, que publica el Instituto Nacional d</w:t>
      </w:r>
      <w:r w:rsidR="00870678" w:rsidRPr="00BA272D">
        <w:rPr>
          <w:rFonts w:ascii="Arial" w:eastAsia="Calibri" w:hAnsi="Arial" w:cs="Arial"/>
          <w:spacing w:val="-1"/>
          <w:sz w:val="17"/>
          <w:szCs w:val="17"/>
        </w:rPr>
        <w:t>e Estadística y Geografía (INEGI</w:t>
      </w:r>
      <w:r w:rsidRPr="00BA272D">
        <w:rPr>
          <w:rFonts w:ascii="Arial" w:eastAsia="Calibri" w:hAnsi="Arial" w:cs="Arial"/>
          <w:spacing w:val="-1"/>
          <w:sz w:val="17"/>
          <w:szCs w:val="17"/>
        </w:rPr>
        <w:t>), dan cuenta de una mejoría en el valor de producción de los productos elaborados en la industria manufacturera y recordemos que el estado se posiciona como uno de los principales en la materia de todo el país.</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Y es que si bien, entre los meses de abril y junio de este año se reportaron bajas en este rubro, respecto a las cifras de 2019 (-30.8% en abril, -39% en mayo y -8.2% en junio), para los meses de julio y agosto ya hay ligeros incrementos (1.7% y 3.1%, respectivamente) mismos que se han mantenido en forma constate. </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sector manufacturero ocupa la principal porción respecto a la participación y distribución del producto interno bruto (PIB). Datos de la Secretaría d</w:t>
      </w:r>
      <w:r w:rsidR="004B105F">
        <w:rPr>
          <w:rFonts w:ascii="Arial" w:eastAsia="Calibri" w:hAnsi="Arial" w:cs="Arial"/>
          <w:spacing w:val="-1"/>
          <w:sz w:val="17"/>
          <w:szCs w:val="17"/>
        </w:rPr>
        <w:t>e Desarrollo Sustentable (SEDESU</w:t>
      </w:r>
      <w:r w:rsidRPr="00BA272D">
        <w:rPr>
          <w:rFonts w:ascii="Arial" w:eastAsia="Calibri" w:hAnsi="Arial" w:cs="Arial"/>
          <w:spacing w:val="-1"/>
          <w:sz w:val="17"/>
          <w:szCs w:val="17"/>
        </w:rPr>
        <w:t>) de Querétaro refieren que la industria manufacturera representa el 29.4% del PIB estatal, le siguen comercio al por mayor, 11.6%; construcción, con 10.3%; y comercio al por menor, 10.1 por ciento.</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223F75">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Mediante Boletín 073/21 el secretario de Desarrollo Sustentable (SEDESU), Marco Antonio Del </w:t>
      </w:r>
      <w:proofErr w:type="spellStart"/>
      <w:r w:rsidRPr="00BA272D">
        <w:rPr>
          <w:rFonts w:ascii="Arial" w:eastAsia="Calibri" w:hAnsi="Arial" w:cs="Arial"/>
          <w:spacing w:val="-1"/>
          <w:sz w:val="17"/>
          <w:szCs w:val="17"/>
        </w:rPr>
        <w:t>Prete</w:t>
      </w:r>
      <w:proofErr w:type="spellEnd"/>
      <w:r w:rsidRPr="00BA272D">
        <w:rPr>
          <w:rFonts w:ascii="Arial" w:eastAsia="Calibri" w:hAnsi="Arial" w:cs="Arial"/>
          <w:spacing w:val="-1"/>
          <w:sz w:val="17"/>
          <w:szCs w:val="17"/>
        </w:rPr>
        <w:t xml:space="preserve"> Tercero, indicó que de enero a noviembre se han generado 43 mil 936 empleos; en tanto que el salario promedio de cotización se mantiene en 474.87 pesos, el tercero más alto a nivel nacional. Mientras </w:t>
      </w:r>
      <w:r w:rsidR="00D01389" w:rsidRPr="00BA272D">
        <w:rPr>
          <w:rFonts w:ascii="Arial" w:eastAsia="Calibri" w:hAnsi="Arial" w:cs="Arial"/>
          <w:spacing w:val="-1"/>
          <w:sz w:val="17"/>
          <w:szCs w:val="17"/>
        </w:rPr>
        <w:t>que,</w:t>
      </w:r>
      <w:r w:rsidRPr="00BA272D">
        <w:rPr>
          <w:rFonts w:ascii="Arial" w:eastAsia="Calibri" w:hAnsi="Arial" w:cs="Arial"/>
          <w:spacing w:val="-1"/>
          <w:sz w:val="17"/>
          <w:szCs w:val="17"/>
        </w:rPr>
        <w:t xml:space="preserve"> de enero a octubre, las industrias manufactureras han producido 330 mil 35 millones de pesos, esto representa 18.8 por ciento más que el año pasado.</w:t>
      </w:r>
    </w:p>
    <w:p w:rsidR="00CD33E9" w:rsidRPr="00BA272D" w:rsidRDefault="00CD33E9" w:rsidP="00223F75">
      <w:pPr>
        <w:spacing w:before="80" w:line="240" w:lineRule="exact"/>
        <w:ind w:left="851"/>
        <w:jc w:val="both"/>
        <w:rPr>
          <w:rFonts w:ascii="Arial" w:eastAsia="Calibri" w:hAnsi="Arial" w:cs="Arial"/>
          <w:spacing w:val="-1"/>
          <w:sz w:val="17"/>
          <w:szCs w:val="17"/>
        </w:rPr>
      </w:pPr>
    </w:p>
    <w:p w:rsidR="00CD33E9" w:rsidRPr="00BA272D" w:rsidRDefault="00CD33E9"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capital aportado por nuevas inversiones tiene la contribución más baja a la Inversión Extranjera Directa (IED) que ha recibido Querétaro en este año, de enero a septiembre, este concepto de IED ascendió a 118.1 millones de dólares, cifra que es 19.8% del total de inversión extranjera que recibió la entidad en dicho lapso y que sumó 595.5 millones de dólares monto que representa una baja de 35.7% en relación con los 926.5 millones del año previo.</w:t>
      </w:r>
    </w:p>
    <w:p w:rsidR="00CD33E9" w:rsidRPr="00BA272D" w:rsidRDefault="00CD33E9" w:rsidP="00F47B33">
      <w:pPr>
        <w:spacing w:before="80" w:line="240" w:lineRule="exact"/>
        <w:ind w:left="851"/>
        <w:jc w:val="both"/>
        <w:rPr>
          <w:rFonts w:ascii="Arial" w:eastAsia="Calibri" w:hAnsi="Arial" w:cs="Arial"/>
          <w:spacing w:val="-1"/>
          <w:sz w:val="17"/>
          <w:szCs w:val="17"/>
        </w:rPr>
      </w:pPr>
    </w:p>
    <w:p w:rsidR="00CD33E9" w:rsidRPr="00BA272D" w:rsidRDefault="00CD33E9"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Por ello, tras la crisis económica en la que influyó la pandemia de Covid-19, fue presentado un programa estatal con el que se busca incidir en la recuperación económica de la entidad.</w:t>
      </w:r>
      <w:r w:rsidRPr="00BA272D">
        <w:rPr>
          <w:rFonts w:ascii="Arial" w:hAnsi="Arial" w:cs="Arial"/>
          <w:sz w:val="17"/>
          <w:szCs w:val="17"/>
        </w:rPr>
        <w:t xml:space="preserve"> </w:t>
      </w:r>
      <w:r w:rsidRPr="00BA272D">
        <w:rPr>
          <w:rFonts w:ascii="Arial" w:eastAsia="Calibri" w:hAnsi="Arial" w:cs="Arial"/>
          <w:spacing w:val="-1"/>
          <w:sz w:val="17"/>
          <w:szCs w:val="17"/>
        </w:rPr>
        <w:t>Esquemas de apoyo principalmente para micro, pequeñas y medianas empresas (</w:t>
      </w:r>
      <w:proofErr w:type="spellStart"/>
      <w:r w:rsidRPr="00BA272D">
        <w:rPr>
          <w:rFonts w:ascii="Arial" w:eastAsia="Calibri" w:hAnsi="Arial" w:cs="Arial"/>
          <w:spacing w:val="-1"/>
          <w:sz w:val="17"/>
          <w:szCs w:val="17"/>
        </w:rPr>
        <w:t>mipymes</w:t>
      </w:r>
      <w:proofErr w:type="spellEnd"/>
      <w:r w:rsidRPr="00BA272D">
        <w:rPr>
          <w:rFonts w:ascii="Arial" w:eastAsia="Calibri" w:hAnsi="Arial" w:cs="Arial"/>
          <w:spacing w:val="-1"/>
          <w:sz w:val="17"/>
          <w:szCs w:val="17"/>
        </w:rPr>
        <w:t>), para fomentar el autoempleo y para dinamizar al sector turismo, son algunos de los ejes del programa, en el que se erogará una bolsa de 200 millones de pesos.</w:t>
      </w:r>
    </w:p>
    <w:p w:rsidR="00CD33E9" w:rsidRPr="00BA272D" w:rsidRDefault="00CD33E9" w:rsidP="00F47B33">
      <w:pPr>
        <w:spacing w:before="80" w:line="240" w:lineRule="exact"/>
        <w:ind w:left="851"/>
        <w:jc w:val="both"/>
        <w:rPr>
          <w:rFonts w:ascii="Arial" w:eastAsia="Calibri" w:hAnsi="Arial" w:cs="Arial"/>
          <w:spacing w:val="-1"/>
          <w:sz w:val="17"/>
          <w:szCs w:val="17"/>
        </w:rPr>
      </w:pPr>
    </w:p>
    <w:p w:rsidR="00CD33E9" w:rsidRPr="00BA272D" w:rsidRDefault="00CD33E9"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Asimismo, se trabaja en implementación de estrategias para la atracción de inversión nacional y extranjera al estado.</w:t>
      </w:r>
    </w:p>
    <w:p w:rsidR="00CD33E9" w:rsidRPr="00BA272D" w:rsidRDefault="00CD33E9" w:rsidP="00F47B33">
      <w:pPr>
        <w:spacing w:before="80" w:line="240" w:lineRule="exact"/>
        <w:ind w:left="851"/>
        <w:jc w:val="both"/>
        <w:rPr>
          <w:rFonts w:ascii="Arial" w:eastAsia="Calibri" w:hAnsi="Arial" w:cs="Arial"/>
          <w:spacing w:val="-1"/>
          <w:sz w:val="17"/>
          <w:szCs w:val="17"/>
        </w:rPr>
      </w:pPr>
    </w:p>
    <w:p w:rsidR="00CD33E9" w:rsidRPr="00BA272D" w:rsidRDefault="00CD33E9"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Por último, se recalca que al cierre del ejercicio 2021 el Estado de Querétaro no cuenta con Deuda Pública. </w:t>
      </w:r>
      <w:r w:rsidRPr="00BA272D">
        <w:rPr>
          <w:rFonts w:ascii="Arial" w:eastAsia="Calibri" w:hAnsi="Arial" w:cs="Arial"/>
          <w:spacing w:val="-1"/>
          <w:sz w:val="17"/>
          <w:szCs w:val="17"/>
        </w:rPr>
        <w:tab/>
      </w:r>
    </w:p>
    <w:p w:rsidR="00F71E5C" w:rsidRDefault="00F71E5C" w:rsidP="00ED0269">
      <w:pPr>
        <w:pStyle w:val="Textoindependiente"/>
        <w:widowControl w:val="0"/>
        <w:spacing w:before="80" w:line="240" w:lineRule="exact"/>
        <w:ind w:left="567" w:right="51"/>
        <w:jc w:val="left"/>
        <w:rPr>
          <w:rFonts w:eastAsia="Calibri" w:cs="Arial"/>
          <w:spacing w:val="-1"/>
          <w:sz w:val="17"/>
          <w:szCs w:val="17"/>
          <w:lang w:eastAsia="es-MX"/>
        </w:rPr>
      </w:pPr>
    </w:p>
    <w:p w:rsidR="00F71E5C" w:rsidRPr="00BA272D"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t>Autorización e Historia</w:t>
      </w:r>
    </w:p>
    <w:p w:rsidR="00F71E5C" w:rsidRPr="00BA272D" w:rsidRDefault="00F71E5C" w:rsidP="00F47B33">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71E5C" w:rsidRPr="00BA272D" w:rsidRDefault="00F71E5C" w:rsidP="00F47B33">
      <w:pPr>
        <w:spacing w:before="80" w:line="240" w:lineRule="exact"/>
        <w:ind w:left="851" w:right="530"/>
        <w:jc w:val="both"/>
        <w:rPr>
          <w:rFonts w:ascii="Arial" w:eastAsia="Calibri" w:hAnsi="Arial" w:cs="Arial"/>
          <w:i/>
          <w:spacing w:val="-1"/>
          <w:sz w:val="17"/>
          <w:szCs w:val="17"/>
        </w:rPr>
      </w:pPr>
      <w:r w:rsidRPr="00BA272D">
        <w:rPr>
          <w:rFonts w:ascii="Arial" w:eastAsia="Calibri" w:hAnsi="Arial" w:cs="Arial"/>
          <w:i/>
          <w:spacing w:val="-1"/>
          <w:sz w:val="17"/>
          <w:szCs w:val="17"/>
        </w:rPr>
        <w:t>“El estado de Querétaro es parte integrante de la Federación Mexicana, es libre y autónomo en lo que se refiere a su régimen interno y sólo delega sus facultades en los Poderes Federales, en todo aquello que fije expresamente la constitución Política de los Estado Unidos mexicas”.</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el artículo 13 del mismo ordenamiento legal, establece:</w:t>
      </w:r>
      <w:r w:rsidRPr="00BA272D">
        <w:rPr>
          <w:rFonts w:ascii="Arial" w:eastAsia="Calibri" w:hAnsi="Arial" w:cs="Arial"/>
          <w:noProof/>
          <w:spacing w:val="-1"/>
          <w:sz w:val="17"/>
          <w:szCs w:val="17"/>
        </w:rPr>
        <w:t xml:space="preserve"> </w:t>
      </w:r>
    </w:p>
    <w:p w:rsidR="00F71E5C" w:rsidRPr="00BA272D" w:rsidRDefault="00F71E5C" w:rsidP="00F47B33">
      <w:pPr>
        <w:spacing w:before="80" w:line="240" w:lineRule="exact"/>
        <w:ind w:left="851" w:right="2515"/>
        <w:jc w:val="both"/>
        <w:rPr>
          <w:rFonts w:ascii="Arial" w:eastAsia="Calibri" w:hAnsi="Arial" w:cs="Arial"/>
          <w:i/>
          <w:spacing w:val="-1"/>
          <w:sz w:val="17"/>
          <w:szCs w:val="17"/>
        </w:rPr>
      </w:pPr>
      <w:r w:rsidRPr="00BA272D">
        <w:rPr>
          <w:rFonts w:ascii="Arial" w:eastAsia="Calibri" w:hAnsi="Arial" w:cs="Arial"/>
          <w:i/>
          <w:spacing w:val="-1"/>
          <w:sz w:val="17"/>
          <w:szCs w:val="17"/>
        </w:rPr>
        <w:t>“El Poder Público del Estado se divide para su ejercicio en las funciones: Legislativa, Ejecutiva y Judicial…”</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9 de abril de 2020.</w:t>
      </w:r>
    </w:p>
    <w:p w:rsidR="00F71E5C" w:rsidRDefault="00F71E5C" w:rsidP="00ED0269">
      <w:pPr>
        <w:spacing w:before="80" w:line="240" w:lineRule="exact"/>
        <w:ind w:left="567"/>
        <w:jc w:val="both"/>
        <w:rPr>
          <w:rFonts w:ascii="Arial" w:eastAsia="Calibri" w:hAnsi="Arial" w:cs="Arial"/>
          <w:spacing w:val="-1"/>
          <w:sz w:val="17"/>
          <w:szCs w:val="17"/>
        </w:rPr>
      </w:pPr>
    </w:p>
    <w:p w:rsidR="0099467F" w:rsidRDefault="0099467F" w:rsidP="00ED0269">
      <w:pPr>
        <w:spacing w:before="80" w:line="240" w:lineRule="exact"/>
        <w:ind w:left="567"/>
        <w:jc w:val="both"/>
        <w:rPr>
          <w:rFonts w:ascii="Arial" w:eastAsia="Calibri" w:hAnsi="Arial" w:cs="Arial"/>
          <w:spacing w:val="-1"/>
          <w:sz w:val="17"/>
          <w:szCs w:val="17"/>
        </w:rPr>
      </w:pPr>
    </w:p>
    <w:p w:rsidR="0099467F" w:rsidRDefault="0099467F" w:rsidP="00ED0269">
      <w:pPr>
        <w:spacing w:before="80" w:line="240" w:lineRule="exact"/>
        <w:ind w:left="567"/>
        <w:jc w:val="both"/>
        <w:rPr>
          <w:rFonts w:ascii="Arial" w:eastAsia="Calibri" w:hAnsi="Arial" w:cs="Arial"/>
          <w:spacing w:val="-1"/>
          <w:sz w:val="17"/>
          <w:szCs w:val="17"/>
        </w:rPr>
      </w:pPr>
    </w:p>
    <w:p w:rsidR="0099467F" w:rsidRDefault="0099467F" w:rsidP="00ED0269">
      <w:pPr>
        <w:spacing w:before="80" w:line="240" w:lineRule="exact"/>
        <w:ind w:left="567"/>
        <w:jc w:val="both"/>
        <w:rPr>
          <w:rFonts w:ascii="Arial" w:eastAsia="Calibri" w:hAnsi="Arial" w:cs="Arial"/>
          <w:spacing w:val="-1"/>
          <w:sz w:val="17"/>
          <w:szCs w:val="17"/>
        </w:rPr>
      </w:pPr>
    </w:p>
    <w:p w:rsidR="0099467F" w:rsidRPr="00BA272D" w:rsidRDefault="0099467F" w:rsidP="00ED0269">
      <w:pPr>
        <w:spacing w:before="80" w:line="240" w:lineRule="exact"/>
        <w:ind w:left="567"/>
        <w:jc w:val="both"/>
        <w:rPr>
          <w:rFonts w:ascii="Arial" w:eastAsia="Calibri" w:hAnsi="Arial" w:cs="Arial"/>
          <w:spacing w:val="-1"/>
          <w:sz w:val="17"/>
          <w:szCs w:val="17"/>
        </w:rPr>
      </w:pPr>
    </w:p>
    <w:p w:rsidR="00F71E5C" w:rsidRPr="00BA272D"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Organización y Objeto Social</w:t>
      </w:r>
    </w:p>
    <w:p w:rsidR="00F71E5C" w:rsidRPr="00BA272D" w:rsidRDefault="00F71E5C" w:rsidP="00F47B33">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De la misma manera en el artículo 3, se establece que:</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Asimismo, en el artículo 4, menciona lo siguiente:</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lastRenderedPageBreak/>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Por su parte el artículo 5, se establece que:</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La protección, la conservación, la restauración y la sustentabilidad de los recursos naturales serán tareas prioritarias del Estado.”</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Por último, en el artículo 6 se señala que:</w:t>
      </w:r>
    </w:p>
    <w:p w:rsidR="00F71E5C" w:rsidRPr="00BA272D" w:rsidRDefault="00F71E5C" w:rsidP="00F47B33">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“Toda persona tiene derecho a acceder de forma libre y universal a Internet y a las tecnologías de la información y la comunicación.</w:t>
      </w:r>
    </w:p>
    <w:p w:rsidR="00F71E5C" w:rsidRPr="00BA272D" w:rsidRDefault="00F71E5C" w:rsidP="00F47B33">
      <w:pPr>
        <w:tabs>
          <w:tab w:val="left" w:pos="11340"/>
        </w:tabs>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El Estado está obligado a implementar las políticas necesarias para hacer efectivo este derecho, en los términos establecidos por la Ley.”</w:t>
      </w:r>
    </w:p>
    <w:p w:rsidR="007F460F" w:rsidRDefault="007F460F" w:rsidP="00C42DFF">
      <w:pPr>
        <w:spacing w:before="80" w:line="240" w:lineRule="exact"/>
        <w:ind w:left="567"/>
        <w:jc w:val="both"/>
        <w:rPr>
          <w:rFonts w:ascii="Arial" w:eastAsia="Calibri" w:hAnsi="Arial" w:cs="Arial"/>
          <w:spacing w:val="-1"/>
          <w:sz w:val="17"/>
          <w:szCs w:val="17"/>
        </w:rPr>
      </w:pP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2021 contempla el periodo del 1 de enero al </w:t>
      </w:r>
      <w:r w:rsidR="00DD5E8F" w:rsidRPr="00BA272D">
        <w:rPr>
          <w:rFonts w:ascii="Arial" w:eastAsia="Calibri" w:hAnsi="Arial" w:cs="Arial"/>
          <w:spacing w:val="-1"/>
          <w:sz w:val="17"/>
          <w:szCs w:val="17"/>
        </w:rPr>
        <w:t>31</w:t>
      </w:r>
      <w:r w:rsidRPr="00BA272D">
        <w:rPr>
          <w:rFonts w:ascii="Arial" w:eastAsia="Calibri" w:hAnsi="Arial" w:cs="Arial"/>
          <w:spacing w:val="-1"/>
          <w:sz w:val="17"/>
          <w:szCs w:val="17"/>
        </w:rPr>
        <w:t xml:space="preserve"> de </w:t>
      </w:r>
      <w:r w:rsidR="00DD5E8F" w:rsidRPr="00BA272D">
        <w:rPr>
          <w:rFonts w:ascii="Arial" w:eastAsia="Calibri" w:hAnsi="Arial" w:cs="Arial"/>
          <w:spacing w:val="-1"/>
          <w:sz w:val="17"/>
          <w:szCs w:val="17"/>
        </w:rPr>
        <w:t>diciembre</w:t>
      </w:r>
      <w:r w:rsidRPr="00BA272D">
        <w:rPr>
          <w:rFonts w:ascii="Arial" w:eastAsia="Calibri" w:hAnsi="Arial" w:cs="Arial"/>
          <w:spacing w:val="-1"/>
          <w:sz w:val="17"/>
          <w:szCs w:val="17"/>
        </w:rPr>
        <w:t xml:space="preserve"> del 2021.</w:t>
      </w:r>
      <w:r w:rsidR="00381F73">
        <w:rPr>
          <w:rFonts w:ascii="Arial" w:eastAsia="Calibri" w:hAnsi="Arial" w:cs="Arial"/>
          <w:spacing w:val="-1"/>
          <w:sz w:val="17"/>
          <w:szCs w:val="17"/>
        </w:rPr>
        <w:t xml:space="preserve"> El 30 de septiembre de 2021, se contempla una reforma en la Ley Orgánica del Poder Ejecutivo creando la </w:t>
      </w:r>
      <w:r w:rsidR="00381F73" w:rsidRPr="00381F73">
        <w:rPr>
          <w:rFonts w:ascii="Arial" w:eastAsia="Calibri" w:hAnsi="Arial" w:cs="Arial"/>
          <w:spacing w:val="-1"/>
          <w:sz w:val="17"/>
          <w:szCs w:val="17"/>
        </w:rPr>
        <w:t>Secretaría de Plane</w:t>
      </w:r>
      <w:r w:rsidR="00381F73">
        <w:rPr>
          <w:rFonts w:ascii="Arial" w:eastAsia="Calibri" w:hAnsi="Arial" w:cs="Arial"/>
          <w:spacing w:val="-1"/>
          <w:sz w:val="17"/>
          <w:szCs w:val="17"/>
        </w:rPr>
        <w:t xml:space="preserve">ación y Participación Ciudadana y la </w:t>
      </w:r>
      <w:r w:rsidR="00381F73" w:rsidRPr="00381F73">
        <w:rPr>
          <w:rFonts w:ascii="Arial" w:eastAsia="Calibri" w:hAnsi="Arial" w:cs="Arial"/>
          <w:spacing w:val="-1"/>
          <w:sz w:val="17"/>
          <w:szCs w:val="17"/>
        </w:rPr>
        <w:t>Jefatura de Gabinete</w:t>
      </w:r>
      <w:r w:rsidR="00381F73">
        <w:rPr>
          <w:rFonts w:ascii="Arial" w:eastAsia="Calibri" w:hAnsi="Arial" w:cs="Arial"/>
          <w:spacing w:val="-1"/>
          <w:sz w:val="17"/>
          <w:szCs w:val="17"/>
        </w:rPr>
        <w:t>; además de modificar las funciones y nombre de la Secretaría de Planeación y Finanzas por Secretaría de Finanzas.</w:t>
      </w:r>
    </w:p>
    <w:p w:rsidR="007F460F" w:rsidRDefault="007F460F" w:rsidP="00F47B33">
      <w:pPr>
        <w:spacing w:before="80" w:line="240" w:lineRule="exact"/>
        <w:ind w:left="851"/>
        <w:jc w:val="both"/>
        <w:rPr>
          <w:rFonts w:ascii="Arial" w:eastAsia="Calibri" w:hAnsi="Arial" w:cs="Arial"/>
          <w:spacing w:val="-1"/>
          <w:sz w:val="17"/>
          <w:szCs w:val="17"/>
        </w:rPr>
      </w:pPr>
    </w:p>
    <w:p w:rsidR="00F71E5C"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71E5C" w:rsidRDefault="00F71E5C" w:rsidP="00ED0269">
      <w:pPr>
        <w:spacing w:before="80" w:line="240" w:lineRule="exact"/>
        <w:ind w:left="567"/>
        <w:jc w:val="both"/>
        <w:rPr>
          <w:rFonts w:ascii="Arial" w:eastAsia="Calibri" w:hAnsi="Arial" w:cs="Arial"/>
          <w:b/>
          <w:spacing w:val="-1"/>
          <w:sz w:val="17"/>
          <w:szCs w:val="17"/>
        </w:rPr>
      </w:pPr>
    </w:p>
    <w:p w:rsidR="00F71E5C" w:rsidRPr="00BA272D"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t>Bases de Preparación de los Estados Financieros</w:t>
      </w:r>
    </w:p>
    <w:p w:rsidR="00F71E5C" w:rsidRPr="00BA272D" w:rsidRDefault="00F71E5C" w:rsidP="00F47B33">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Asimismo, en lo referente a la valuación y revelación de diversos rubros de la información financiera, se ha considerado lo establecido en las “</w:t>
      </w:r>
      <w:r w:rsidRPr="00BA272D">
        <w:rPr>
          <w:rFonts w:ascii="Arial" w:eastAsia="Calibri" w:hAnsi="Arial" w:cs="Arial"/>
          <w:b/>
          <w:spacing w:val="-1"/>
          <w:sz w:val="17"/>
          <w:szCs w:val="17"/>
        </w:rPr>
        <w:t>Principales Reglas de Registro y Valoración del Patrimonio (Elementos Generales)</w:t>
      </w:r>
      <w:r w:rsidRPr="00BA272D">
        <w:rPr>
          <w:rFonts w:ascii="Arial" w:eastAsia="Calibri" w:hAnsi="Arial" w:cs="Arial"/>
          <w:spacing w:val="-1"/>
          <w:sz w:val="17"/>
          <w:szCs w:val="17"/>
        </w:rPr>
        <w:t>” así como en las “</w:t>
      </w:r>
      <w:r w:rsidRPr="00BA272D">
        <w:rPr>
          <w:rFonts w:ascii="Arial" w:eastAsia="Calibri" w:hAnsi="Arial" w:cs="Arial"/>
          <w:b/>
          <w:spacing w:val="-1"/>
          <w:sz w:val="17"/>
          <w:szCs w:val="17"/>
        </w:rPr>
        <w:t>Reglas Específicas de Registro y Valoración del Patrimonio</w:t>
      </w:r>
      <w:r w:rsidRPr="00BA272D">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lo referente a los postulados básicos, estos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99467F" w:rsidRDefault="0099467F" w:rsidP="00F47B33">
      <w:pPr>
        <w:spacing w:before="80" w:line="240" w:lineRule="exact"/>
        <w:ind w:left="851"/>
        <w:jc w:val="both"/>
        <w:rPr>
          <w:rFonts w:ascii="Arial" w:eastAsia="Calibri" w:hAnsi="Arial" w:cs="Arial"/>
          <w:spacing w:val="-1"/>
          <w:sz w:val="17"/>
          <w:szCs w:val="17"/>
        </w:rPr>
      </w:pPr>
    </w:p>
    <w:p w:rsidR="0099467F" w:rsidRDefault="0099467F" w:rsidP="00F47B33">
      <w:pPr>
        <w:spacing w:before="80" w:line="240" w:lineRule="exact"/>
        <w:ind w:left="851"/>
        <w:jc w:val="both"/>
        <w:rPr>
          <w:rFonts w:ascii="Arial" w:eastAsia="Calibri" w:hAnsi="Arial" w:cs="Arial"/>
          <w:spacing w:val="-1"/>
          <w:sz w:val="17"/>
          <w:szCs w:val="17"/>
        </w:rPr>
      </w:pPr>
    </w:p>
    <w:p w:rsidR="0099467F" w:rsidRDefault="0099467F" w:rsidP="00F47B33">
      <w:pPr>
        <w:spacing w:before="80" w:line="240" w:lineRule="exact"/>
        <w:ind w:left="851"/>
        <w:jc w:val="both"/>
        <w:rPr>
          <w:rFonts w:ascii="Arial" w:eastAsia="Calibri" w:hAnsi="Arial" w:cs="Arial"/>
          <w:spacing w:val="-1"/>
          <w:sz w:val="17"/>
          <w:szCs w:val="17"/>
        </w:rPr>
      </w:pPr>
    </w:p>
    <w:p w:rsidR="005519EC"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lastRenderedPageBreak/>
        <w:t xml:space="preserve">Para </w:t>
      </w:r>
      <w:r w:rsidR="00CE617C">
        <w:rPr>
          <w:rFonts w:ascii="Arial" w:eastAsia="Calibri" w:hAnsi="Arial" w:cs="Arial"/>
          <w:spacing w:val="-1"/>
          <w:sz w:val="17"/>
          <w:szCs w:val="17"/>
        </w:rPr>
        <w:t xml:space="preserve">el tema del </w:t>
      </w:r>
      <w:r w:rsidRPr="00BA272D">
        <w:rPr>
          <w:rFonts w:ascii="Arial" w:eastAsia="Calibri" w:hAnsi="Arial" w:cs="Arial"/>
          <w:spacing w:val="-1"/>
          <w:sz w:val="17"/>
          <w:szCs w:val="17"/>
        </w:rPr>
        <w:t>Norma</w:t>
      </w:r>
      <w:r w:rsidR="00CE617C">
        <w:rPr>
          <w:rFonts w:ascii="Arial" w:eastAsia="Calibri" w:hAnsi="Arial" w:cs="Arial"/>
          <w:spacing w:val="-1"/>
          <w:sz w:val="17"/>
          <w:szCs w:val="17"/>
        </w:rPr>
        <w:t xml:space="preserve"> Supletoria, se aplica lo que señala el </w:t>
      </w:r>
      <w:r w:rsidR="00CE617C" w:rsidRPr="005519EC">
        <w:rPr>
          <w:rFonts w:ascii="Arial" w:eastAsia="Calibri" w:hAnsi="Arial" w:cs="Arial"/>
          <w:spacing w:val="-1"/>
          <w:sz w:val="17"/>
          <w:szCs w:val="17"/>
        </w:rPr>
        <w:t xml:space="preserve">Marco </w:t>
      </w:r>
      <w:r w:rsidR="00B67D09" w:rsidRPr="005519EC">
        <w:rPr>
          <w:rFonts w:ascii="Arial" w:eastAsia="Calibri" w:hAnsi="Arial" w:cs="Arial"/>
          <w:spacing w:val="-1"/>
          <w:sz w:val="17"/>
          <w:szCs w:val="17"/>
        </w:rPr>
        <w:t>Conceptual</w:t>
      </w:r>
      <w:r w:rsidR="005519EC">
        <w:rPr>
          <w:rFonts w:ascii="Arial" w:eastAsia="Calibri" w:hAnsi="Arial" w:cs="Arial"/>
          <w:spacing w:val="-1"/>
          <w:sz w:val="17"/>
          <w:szCs w:val="17"/>
        </w:rPr>
        <w:t>:</w:t>
      </w:r>
    </w:p>
    <w:p w:rsidR="005519EC" w:rsidRDefault="005519EC" w:rsidP="00F47B33">
      <w:pPr>
        <w:spacing w:before="80" w:line="240" w:lineRule="exact"/>
        <w:ind w:left="851"/>
        <w:jc w:val="both"/>
        <w:rPr>
          <w:rFonts w:ascii="Arial" w:eastAsia="Calibri" w:hAnsi="Arial" w:cs="Arial"/>
          <w:spacing w:val="-1"/>
          <w:sz w:val="17"/>
          <w:szCs w:val="17"/>
          <w:highlight w:val="red"/>
        </w:rPr>
      </w:pPr>
    </w:p>
    <w:tbl>
      <w:tblPr>
        <w:tblW w:w="12452" w:type="dxa"/>
        <w:tblInd w:w="144" w:type="dxa"/>
        <w:tblLayout w:type="fixed"/>
        <w:tblCellMar>
          <w:left w:w="43" w:type="dxa"/>
          <w:right w:w="43" w:type="dxa"/>
        </w:tblCellMar>
        <w:tblLook w:val="0000" w:firstRow="0" w:lastRow="0" w:firstColumn="0" w:lastColumn="0" w:noHBand="0" w:noVBand="0"/>
      </w:tblPr>
      <w:tblGrid>
        <w:gridCol w:w="12452"/>
      </w:tblGrid>
      <w:tr w:rsidR="005519EC" w:rsidRPr="00201364" w:rsidTr="005519EC">
        <w:trPr>
          <w:trHeight w:val="13"/>
        </w:trPr>
        <w:tc>
          <w:tcPr>
            <w:tcW w:w="12452" w:type="dxa"/>
          </w:tcPr>
          <w:p w:rsidR="005519EC" w:rsidRPr="005519EC" w:rsidRDefault="005519EC" w:rsidP="005519EC">
            <w:pPr>
              <w:pStyle w:val="Texto"/>
              <w:spacing w:line="244" w:lineRule="exact"/>
              <w:ind w:left="806"/>
              <w:rPr>
                <w:rFonts w:ascii="Arial" w:eastAsia="Calibri" w:hAnsi="Arial" w:cs="Arial"/>
                <w:spacing w:val="-1"/>
                <w:sz w:val="17"/>
                <w:szCs w:val="17"/>
                <w:lang w:val="es-MX" w:eastAsia="es-MX"/>
              </w:rPr>
            </w:pPr>
            <w:r w:rsidRPr="005519EC">
              <w:rPr>
                <w:rFonts w:ascii="Arial" w:eastAsia="Calibri" w:hAnsi="Arial" w:cs="Arial"/>
                <w:spacing w:val="-1"/>
                <w:sz w:val="17"/>
                <w:szCs w:val="17"/>
                <w:lang w:val="es-MX" w:eastAsia="es-MX"/>
              </w:rPr>
              <w:t>a)</w:t>
            </w:r>
            <w:r w:rsidRPr="005519EC">
              <w:rPr>
                <w:rFonts w:ascii="Arial" w:eastAsia="Calibri" w:hAnsi="Arial" w:cs="Arial"/>
                <w:spacing w:val="-1"/>
                <w:sz w:val="17"/>
                <w:szCs w:val="17"/>
                <w:lang w:val="es-MX" w:eastAsia="es-MX"/>
              </w:rPr>
              <w:tab/>
            </w:r>
            <w:smartTag w:uri="urn:schemas-microsoft-com:office:smarttags" w:element="PersonName">
              <w:smartTagPr>
                <w:attr w:name="ProductID" w:val="La Normatividad"/>
              </w:smartTagPr>
              <w:r w:rsidRPr="005519EC">
                <w:rPr>
                  <w:rFonts w:ascii="Arial" w:eastAsia="Calibri" w:hAnsi="Arial" w:cs="Arial"/>
                  <w:spacing w:val="-1"/>
                  <w:sz w:val="17"/>
                  <w:szCs w:val="17"/>
                  <w:lang w:val="es-MX" w:eastAsia="es-MX"/>
                </w:rPr>
                <w:t>La Normatividad</w:t>
              </w:r>
            </w:smartTag>
            <w:r w:rsidRPr="005519EC">
              <w:rPr>
                <w:rFonts w:ascii="Arial" w:eastAsia="Calibri" w:hAnsi="Arial" w:cs="Arial"/>
                <w:spacing w:val="-1"/>
                <w:sz w:val="17"/>
                <w:szCs w:val="17"/>
                <w:lang w:val="es-MX" w:eastAsia="es-MX"/>
              </w:rPr>
              <w:t xml:space="preserve"> emitida por las unidades administrativas o instancias competentes en materia de Contabilidad Gubernamental;</w:t>
            </w:r>
          </w:p>
        </w:tc>
      </w:tr>
      <w:tr w:rsidR="005519EC" w:rsidRPr="00201364" w:rsidTr="005519EC">
        <w:trPr>
          <w:trHeight w:val="13"/>
        </w:trPr>
        <w:tc>
          <w:tcPr>
            <w:tcW w:w="12452" w:type="dxa"/>
          </w:tcPr>
          <w:p w:rsidR="005519EC" w:rsidRPr="005519EC" w:rsidRDefault="005519EC" w:rsidP="005519EC">
            <w:pPr>
              <w:pStyle w:val="Texto"/>
              <w:spacing w:line="244" w:lineRule="exact"/>
              <w:ind w:left="806"/>
              <w:rPr>
                <w:rFonts w:ascii="Arial" w:eastAsia="Calibri" w:hAnsi="Arial" w:cs="Arial"/>
                <w:spacing w:val="-1"/>
                <w:sz w:val="17"/>
                <w:szCs w:val="17"/>
                <w:lang w:val="es-MX" w:eastAsia="es-MX"/>
              </w:rPr>
            </w:pPr>
            <w:r w:rsidRPr="005519EC">
              <w:rPr>
                <w:rFonts w:ascii="Arial" w:eastAsia="Calibri" w:hAnsi="Arial" w:cs="Arial"/>
                <w:spacing w:val="-1"/>
                <w:sz w:val="17"/>
                <w:szCs w:val="17"/>
                <w:lang w:val="es-MX" w:eastAsia="es-MX"/>
              </w:rPr>
              <w:t>b)</w:t>
            </w:r>
            <w:r w:rsidRPr="005519EC">
              <w:rPr>
                <w:rFonts w:ascii="Arial" w:eastAsia="Calibri" w:hAnsi="Arial" w:cs="Arial"/>
                <w:spacing w:val="-1"/>
                <w:sz w:val="17"/>
                <w:szCs w:val="17"/>
                <w:lang w:val="es-MX" w:eastAsia="es-MX"/>
              </w:rPr>
              <w:tab/>
              <w:t xml:space="preserve">Las Normas Internacionales de Contabilidad para el Sector Público (NICSP) emitidas por </w:t>
            </w:r>
            <w:smartTag w:uri="urn:schemas-microsoft-com:office:smarttags" w:element="PersonName">
              <w:smartTagPr>
                <w:attr w:name="ProductID" w:val="la Junta"/>
              </w:smartTagPr>
              <w:r w:rsidRPr="005519EC">
                <w:rPr>
                  <w:rFonts w:ascii="Arial" w:eastAsia="Calibri" w:hAnsi="Arial" w:cs="Arial"/>
                  <w:spacing w:val="-1"/>
                  <w:sz w:val="17"/>
                  <w:szCs w:val="17"/>
                  <w:lang w:val="es-MX" w:eastAsia="es-MX"/>
                </w:rPr>
                <w:t>la Junta</w:t>
              </w:r>
            </w:smartTag>
            <w:r w:rsidRPr="005519EC">
              <w:rPr>
                <w:rFonts w:ascii="Arial" w:eastAsia="Calibri" w:hAnsi="Arial" w:cs="Arial"/>
                <w:spacing w:val="-1"/>
                <w:sz w:val="17"/>
                <w:szCs w:val="17"/>
                <w:lang w:val="es-MX" w:eastAsia="es-MX"/>
              </w:rPr>
              <w:t xml:space="preserve"> de Normas Internacionales de Contabilidad del Sector Público (International </w:t>
            </w:r>
            <w:proofErr w:type="spellStart"/>
            <w:r w:rsidRPr="005519EC">
              <w:rPr>
                <w:rFonts w:ascii="Arial" w:eastAsia="Calibri" w:hAnsi="Arial" w:cs="Arial"/>
                <w:spacing w:val="-1"/>
                <w:sz w:val="17"/>
                <w:szCs w:val="17"/>
                <w:lang w:val="es-MX" w:eastAsia="es-MX"/>
              </w:rPr>
              <w:t>Public</w:t>
            </w:r>
            <w:proofErr w:type="spellEnd"/>
            <w:r w:rsidRPr="005519EC">
              <w:rPr>
                <w:rFonts w:ascii="Arial" w:eastAsia="Calibri" w:hAnsi="Arial" w:cs="Arial"/>
                <w:spacing w:val="-1"/>
                <w:sz w:val="17"/>
                <w:szCs w:val="17"/>
                <w:lang w:val="es-MX" w:eastAsia="es-MX"/>
              </w:rPr>
              <w:t xml:space="preserve"> Sector </w:t>
            </w:r>
            <w:proofErr w:type="spellStart"/>
            <w:r w:rsidRPr="005519EC">
              <w:rPr>
                <w:rFonts w:ascii="Arial" w:eastAsia="Calibri" w:hAnsi="Arial" w:cs="Arial"/>
                <w:spacing w:val="-1"/>
                <w:sz w:val="17"/>
                <w:szCs w:val="17"/>
                <w:lang w:val="es-MX" w:eastAsia="es-MX"/>
              </w:rPr>
              <w:t>Accounting</w:t>
            </w:r>
            <w:proofErr w:type="spellEnd"/>
            <w:r w:rsidRPr="005519EC">
              <w:rPr>
                <w:rFonts w:ascii="Arial" w:eastAsia="Calibri" w:hAnsi="Arial" w:cs="Arial"/>
                <w:spacing w:val="-1"/>
                <w:sz w:val="17"/>
                <w:szCs w:val="17"/>
                <w:lang w:val="es-MX" w:eastAsia="es-MX"/>
              </w:rPr>
              <w:t xml:space="preserve"> </w:t>
            </w:r>
            <w:proofErr w:type="spellStart"/>
            <w:r w:rsidRPr="005519EC">
              <w:rPr>
                <w:rFonts w:ascii="Arial" w:eastAsia="Calibri" w:hAnsi="Arial" w:cs="Arial"/>
                <w:spacing w:val="-1"/>
                <w:sz w:val="17"/>
                <w:szCs w:val="17"/>
                <w:lang w:val="es-MX" w:eastAsia="es-MX"/>
              </w:rPr>
              <w:t>Standards</w:t>
            </w:r>
            <w:proofErr w:type="spellEnd"/>
            <w:r w:rsidRPr="005519EC">
              <w:rPr>
                <w:rFonts w:ascii="Arial" w:eastAsia="Calibri" w:hAnsi="Arial" w:cs="Arial"/>
                <w:spacing w:val="-1"/>
                <w:sz w:val="17"/>
                <w:szCs w:val="17"/>
                <w:lang w:val="es-MX" w:eastAsia="es-MX"/>
              </w:rPr>
              <w:t xml:space="preserve"> </w:t>
            </w:r>
            <w:proofErr w:type="spellStart"/>
            <w:r w:rsidRPr="005519EC">
              <w:rPr>
                <w:rFonts w:ascii="Arial" w:eastAsia="Calibri" w:hAnsi="Arial" w:cs="Arial"/>
                <w:spacing w:val="-1"/>
                <w:sz w:val="17"/>
                <w:szCs w:val="17"/>
                <w:lang w:val="es-MX" w:eastAsia="es-MX"/>
              </w:rPr>
              <w:t>Board</w:t>
            </w:r>
            <w:proofErr w:type="spellEnd"/>
            <w:r w:rsidRPr="005519EC">
              <w:rPr>
                <w:rFonts w:ascii="Arial" w:eastAsia="Calibri" w:hAnsi="Arial" w:cs="Arial"/>
                <w:spacing w:val="-1"/>
                <w:sz w:val="17"/>
                <w:szCs w:val="17"/>
                <w:lang w:val="es-MX" w:eastAsia="es-MX"/>
              </w:rPr>
              <w:t xml:space="preserve">, International </w:t>
            </w:r>
            <w:proofErr w:type="spellStart"/>
            <w:r w:rsidRPr="005519EC">
              <w:rPr>
                <w:rFonts w:ascii="Arial" w:eastAsia="Calibri" w:hAnsi="Arial" w:cs="Arial"/>
                <w:spacing w:val="-1"/>
                <w:sz w:val="17"/>
                <w:szCs w:val="17"/>
                <w:lang w:val="es-MX" w:eastAsia="es-MX"/>
              </w:rPr>
              <w:t>Federation</w:t>
            </w:r>
            <w:proofErr w:type="spellEnd"/>
            <w:r w:rsidRPr="005519EC">
              <w:rPr>
                <w:rFonts w:ascii="Arial" w:eastAsia="Calibri" w:hAnsi="Arial" w:cs="Arial"/>
                <w:spacing w:val="-1"/>
                <w:sz w:val="17"/>
                <w:szCs w:val="17"/>
                <w:lang w:val="es-MX" w:eastAsia="es-MX"/>
              </w:rPr>
              <w:t xml:space="preserve"> </w:t>
            </w:r>
            <w:proofErr w:type="spellStart"/>
            <w:r w:rsidRPr="005519EC">
              <w:rPr>
                <w:rFonts w:ascii="Arial" w:eastAsia="Calibri" w:hAnsi="Arial" w:cs="Arial"/>
                <w:spacing w:val="-1"/>
                <w:sz w:val="17"/>
                <w:szCs w:val="17"/>
                <w:lang w:val="es-MX" w:eastAsia="es-MX"/>
              </w:rPr>
              <w:t>Accounting</w:t>
            </w:r>
            <w:proofErr w:type="spellEnd"/>
            <w:r w:rsidRPr="005519EC">
              <w:rPr>
                <w:rFonts w:ascii="Arial" w:eastAsia="Calibri" w:hAnsi="Arial" w:cs="Arial"/>
                <w:spacing w:val="-1"/>
                <w:sz w:val="17"/>
                <w:szCs w:val="17"/>
                <w:lang w:val="es-MX" w:eastAsia="es-MX"/>
              </w:rPr>
              <w:t xml:space="preserve"> </w:t>
            </w:r>
            <w:proofErr w:type="spellStart"/>
            <w:r w:rsidRPr="005519EC">
              <w:rPr>
                <w:rFonts w:ascii="Arial" w:eastAsia="Calibri" w:hAnsi="Arial" w:cs="Arial"/>
                <w:spacing w:val="-1"/>
                <w:sz w:val="17"/>
                <w:szCs w:val="17"/>
                <w:lang w:val="es-MX" w:eastAsia="es-MX"/>
              </w:rPr>
              <w:t>Committee</w:t>
            </w:r>
            <w:proofErr w:type="spellEnd"/>
            <w:r w:rsidRPr="005519EC">
              <w:rPr>
                <w:rFonts w:ascii="Arial" w:eastAsia="Calibri" w:hAnsi="Arial" w:cs="Arial"/>
                <w:spacing w:val="-1"/>
                <w:sz w:val="17"/>
                <w:szCs w:val="17"/>
                <w:lang w:val="es-MX" w:eastAsia="es-MX"/>
              </w:rPr>
              <w:t>);</w:t>
            </w:r>
          </w:p>
        </w:tc>
      </w:tr>
      <w:tr w:rsidR="005519EC" w:rsidRPr="00201364" w:rsidTr="005519EC">
        <w:trPr>
          <w:trHeight w:val="13"/>
        </w:trPr>
        <w:tc>
          <w:tcPr>
            <w:tcW w:w="12452" w:type="dxa"/>
          </w:tcPr>
          <w:p w:rsidR="005519EC" w:rsidRPr="005519EC" w:rsidRDefault="005519EC" w:rsidP="005519EC">
            <w:pPr>
              <w:pStyle w:val="Texto"/>
              <w:spacing w:line="244" w:lineRule="exact"/>
              <w:ind w:left="806"/>
              <w:rPr>
                <w:rFonts w:ascii="Arial" w:eastAsia="Calibri" w:hAnsi="Arial" w:cs="Arial"/>
                <w:spacing w:val="-1"/>
                <w:sz w:val="17"/>
                <w:szCs w:val="17"/>
                <w:lang w:val="es-MX" w:eastAsia="es-MX"/>
              </w:rPr>
            </w:pPr>
            <w:r w:rsidRPr="005519EC">
              <w:rPr>
                <w:rFonts w:ascii="Arial" w:eastAsia="Calibri" w:hAnsi="Arial" w:cs="Arial"/>
                <w:spacing w:val="-1"/>
                <w:sz w:val="17"/>
                <w:szCs w:val="17"/>
                <w:lang w:val="es-MX" w:eastAsia="es-MX"/>
              </w:rPr>
              <w:t>c)</w:t>
            </w:r>
            <w:r w:rsidRPr="005519EC">
              <w:rPr>
                <w:rFonts w:ascii="Arial" w:eastAsia="Calibri" w:hAnsi="Arial" w:cs="Arial"/>
                <w:spacing w:val="-1"/>
                <w:sz w:val="17"/>
                <w:szCs w:val="17"/>
                <w:lang w:val="es-MX" w:eastAsia="es-MX"/>
              </w:rPr>
              <w:tab/>
              <w:t xml:space="preserve">Las Normas de Información Financiera del Consejo Mexicano para </w:t>
            </w:r>
            <w:smartTag w:uri="urn:schemas-microsoft-com:office:smarttags" w:element="PersonName">
              <w:smartTagPr>
                <w:attr w:name="ProductID" w:val="la Investigaci￳n"/>
              </w:smartTagPr>
              <w:r w:rsidRPr="005519EC">
                <w:rPr>
                  <w:rFonts w:ascii="Arial" w:eastAsia="Calibri" w:hAnsi="Arial" w:cs="Arial"/>
                  <w:spacing w:val="-1"/>
                  <w:sz w:val="17"/>
                  <w:szCs w:val="17"/>
                  <w:lang w:val="es-MX" w:eastAsia="es-MX"/>
                </w:rPr>
                <w:t>la Investigación</w:t>
              </w:r>
            </w:smartTag>
            <w:r w:rsidRPr="005519EC">
              <w:rPr>
                <w:rFonts w:ascii="Arial" w:eastAsia="Calibri" w:hAnsi="Arial" w:cs="Arial"/>
                <w:spacing w:val="-1"/>
                <w:sz w:val="17"/>
                <w:szCs w:val="17"/>
                <w:lang w:val="es-MX" w:eastAsia="es-MX"/>
              </w:rPr>
              <w:t xml:space="preserve"> y Desarrollo de Normas de Información Financiera (CINIF).</w:t>
            </w:r>
          </w:p>
        </w:tc>
      </w:tr>
    </w:tbl>
    <w:p w:rsidR="00F71E5C" w:rsidRPr="00BA272D" w:rsidRDefault="00F71E5C" w:rsidP="00F47B33">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t>Políticas de Contabilidad Significativas</w:t>
      </w:r>
    </w:p>
    <w:p w:rsidR="00F71E5C" w:rsidRPr="00BA272D" w:rsidRDefault="00F71E5C" w:rsidP="00F47B33">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cuanto a las políticas contables, se comenta lo siguiente:</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Atendiendo a lo estipulado en las “</w:t>
      </w:r>
      <w:r w:rsidRPr="00BA272D">
        <w:rPr>
          <w:rFonts w:ascii="Arial" w:eastAsia="Calibri" w:hAnsi="Arial" w:cs="Arial"/>
          <w:b/>
          <w:spacing w:val="-1"/>
          <w:sz w:val="17"/>
          <w:szCs w:val="17"/>
        </w:rPr>
        <w:t>Reglas Específicas de Registro y Valoración del Patrimonio</w:t>
      </w:r>
      <w:r w:rsidRPr="00BA272D">
        <w:rPr>
          <w:rFonts w:ascii="Arial" w:eastAsia="Calibri" w:hAnsi="Arial" w:cs="Arial"/>
          <w:spacing w:val="-1"/>
          <w:sz w:val="17"/>
          <w:szCs w:val="17"/>
        </w:rPr>
        <w:t>”,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F71E5C"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E75094" w:rsidRPr="00F47B33" w:rsidRDefault="00E75094" w:rsidP="00F47B33">
      <w:pPr>
        <w:spacing w:before="80" w:line="240" w:lineRule="exact"/>
        <w:ind w:left="851"/>
        <w:jc w:val="both"/>
        <w:rPr>
          <w:rFonts w:ascii="Arial" w:eastAsia="Calibri" w:hAnsi="Arial" w:cs="Arial"/>
          <w:spacing w:val="-1"/>
          <w:sz w:val="17"/>
          <w:szCs w:val="17"/>
        </w:rPr>
      </w:pPr>
      <w:r w:rsidRPr="00F47B33">
        <w:rPr>
          <w:rFonts w:ascii="Arial" w:eastAsia="Calibri" w:hAnsi="Arial" w:cs="Arial"/>
          <w:spacing w:val="-1"/>
          <w:sz w:val="17"/>
          <w:szCs w:val="17"/>
        </w:rPr>
        <w:t>Se informa que la depreciación generada de bienes muebles</w:t>
      </w:r>
      <w:r w:rsidR="00A81AB5" w:rsidRPr="00F47B33">
        <w:rPr>
          <w:rFonts w:ascii="Arial" w:eastAsia="Calibri" w:hAnsi="Arial" w:cs="Arial"/>
          <w:spacing w:val="-1"/>
          <w:sz w:val="17"/>
          <w:szCs w:val="17"/>
        </w:rPr>
        <w:t xml:space="preserve"> e intangibles y bienes </w:t>
      </w:r>
      <w:r w:rsidR="0079493C" w:rsidRPr="00F47B33">
        <w:rPr>
          <w:rFonts w:ascii="Arial" w:eastAsia="Calibri" w:hAnsi="Arial" w:cs="Arial"/>
          <w:spacing w:val="-1"/>
          <w:sz w:val="17"/>
          <w:szCs w:val="17"/>
        </w:rPr>
        <w:t>inmuebles correspondientes</w:t>
      </w:r>
      <w:r w:rsidRPr="00F47B33">
        <w:rPr>
          <w:rFonts w:ascii="Arial" w:eastAsia="Calibri" w:hAnsi="Arial" w:cs="Arial"/>
          <w:spacing w:val="-1"/>
          <w:sz w:val="17"/>
          <w:szCs w:val="17"/>
        </w:rPr>
        <w:t xml:space="preserve"> a los ejercicios anteriores al 1 ° enero de 2013, el registro se realizará durante el ejercicio fiscal 2022, de conformidad al segundo </w:t>
      </w:r>
      <w:r w:rsidR="0079493C" w:rsidRPr="00F47B33">
        <w:rPr>
          <w:rFonts w:ascii="Arial" w:eastAsia="Calibri" w:hAnsi="Arial" w:cs="Arial"/>
          <w:spacing w:val="-1"/>
          <w:sz w:val="17"/>
          <w:szCs w:val="17"/>
        </w:rPr>
        <w:t>acuerdo de</w:t>
      </w:r>
      <w:r w:rsidRPr="00F47B33">
        <w:rPr>
          <w:rFonts w:ascii="Arial" w:eastAsia="Calibri" w:hAnsi="Arial" w:cs="Arial"/>
          <w:spacing w:val="-1"/>
          <w:sz w:val="17"/>
          <w:szCs w:val="17"/>
        </w:rPr>
        <w:t xml:space="preserve"> la Tercera Sesión que se realizó el día 27 de diciembre de 2021 del Consejo de Armonización Contable del Estado de Querétaro</w:t>
      </w:r>
    </w:p>
    <w:p w:rsidR="0079493C" w:rsidRPr="00F47B33" w:rsidRDefault="0079493C" w:rsidP="00F47B33">
      <w:pPr>
        <w:spacing w:before="80" w:line="240" w:lineRule="exact"/>
        <w:ind w:left="851"/>
        <w:jc w:val="both"/>
        <w:rPr>
          <w:rFonts w:ascii="Arial" w:eastAsia="Calibri" w:hAnsi="Arial" w:cs="Arial"/>
          <w:spacing w:val="-1"/>
          <w:sz w:val="17"/>
          <w:szCs w:val="17"/>
        </w:rPr>
      </w:pPr>
      <w:r w:rsidRPr="004913BF">
        <w:rPr>
          <w:rFonts w:ascii="Arial" w:eastAsia="Calibri" w:hAnsi="Arial" w:cs="Arial"/>
          <w:spacing w:val="-1"/>
          <w:sz w:val="17"/>
          <w:szCs w:val="17"/>
        </w:rPr>
        <w:t>Dentro del grupo de Resultado de Ejercicios Anteriores se tiene una variación acumulada por la cantidad de $6</w:t>
      </w:r>
      <w:r w:rsidR="00E35A50" w:rsidRPr="004913BF">
        <w:rPr>
          <w:rFonts w:ascii="Arial" w:eastAsia="Calibri" w:hAnsi="Arial" w:cs="Arial"/>
          <w:spacing w:val="-1"/>
          <w:sz w:val="17"/>
          <w:szCs w:val="17"/>
        </w:rPr>
        <w:t>,</w:t>
      </w:r>
      <w:r w:rsidR="005717D0" w:rsidRPr="004913BF">
        <w:rPr>
          <w:rFonts w:ascii="Arial" w:eastAsia="Calibri" w:hAnsi="Arial" w:cs="Arial"/>
          <w:spacing w:val="-1"/>
          <w:sz w:val="17"/>
          <w:szCs w:val="17"/>
        </w:rPr>
        <w:t>158, 661,103.90</w:t>
      </w:r>
      <w:r w:rsidRPr="00F47B33">
        <w:rPr>
          <w:rFonts w:ascii="Arial" w:eastAsia="Calibri" w:hAnsi="Arial" w:cs="Arial"/>
          <w:spacing w:val="-1"/>
          <w:sz w:val="17"/>
          <w:szCs w:val="17"/>
        </w:rPr>
        <w:t>, la cual se deriva de las siguientes reclasificaciones:</w:t>
      </w:r>
    </w:p>
    <w:p w:rsidR="0079493C" w:rsidRDefault="0079493C" w:rsidP="00F47B33">
      <w:pPr>
        <w:pStyle w:val="Prrafodelista"/>
        <w:numPr>
          <w:ilvl w:val="0"/>
          <w:numId w:val="41"/>
        </w:numPr>
        <w:spacing w:before="80" w:line="240" w:lineRule="exact"/>
        <w:ind w:left="851" w:firstLine="0"/>
        <w:jc w:val="both"/>
        <w:rPr>
          <w:rFonts w:ascii="Arial" w:eastAsia="Calibri" w:hAnsi="Arial" w:cs="Arial"/>
          <w:spacing w:val="-1"/>
          <w:sz w:val="17"/>
          <w:szCs w:val="17"/>
        </w:rPr>
      </w:pPr>
      <w:r w:rsidRPr="00F47B33">
        <w:rPr>
          <w:rFonts w:ascii="Arial" w:eastAsia="Calibri" w:hAnsi="Arial" w:cs="Arial"/>
          <w:spacing w:val="-1"/>
          <w:sz w:val="17"/>
          <w:szCs w:val="17"/>
        </w:rPr>
        <w:t xml:space="preserve">En el grupo de aportaciones se encontraba el registro de activos fijos, cuentas </w:t>
      </w:r>
      <w:r w:rsidR="00D77007" w:rsidRPr="00F47B33">
        <w:rPr>
          <w:rFonts w:ascii="Arial" w:eastAsia="Calibri" w:hAnsi="Arial" w:cs="Arial"/>
          <w:spacing w:val="-1"/>
          <w:sz w:val="17"/>
          <w:szCs w:val="17"/>
        </w:rPr>
        <w:t>utilizadas</w:t>
      </w:r>
      <w:r w:rsidRPr="00F47B33">
        <w:rPr>
          <w:rFonts w:ascii="Arial" w:eastAsia="Calibri" w:hAnsi="Arial" w:cs="Arial"/>
          <w:spacing w:val="-1"/>
          <w:sz w:val="17"/>
          <w:szCs w:val="17"/>
        </w:rPr>
        <w:t xml:space="preserve"> para realizar el registro contable de un activo fijo propiedad del Poder Ejecutivo antes de la Ley General de Contabilidad Gubernamental</w:t>
      </w:r>
      <w:r w:rsidR="00D77007" w:rsidRPr="00F47B33">
        <w:rPr>
          <w:rFonts w:ascii="Arial" w:eastAsia="Calibri" w:hAnsi="Arial" w:cs="Arial"/>
          <w:spacing w:val="-1"/>
          <w:sz w:val="17"/>
          <w:szCs w:val="17"/>
        </w:rPr>
        <w:t>.</w:t>
      </w:r>
    </w:p>
    <w:p w:rsidR="0099467F" w:rsidRPr="00F47B33" w:rsidRDefault="0099467F" w:rsidP="0099467F">
      <w:pPr>
        <w:pStyle w:val="Prrafodelista"/>
        <w:spacing w:before="80" w:line="240" w:lineRule="exact"/>
        <w:ind w:left="851"/>
        <w:jc w:val="both"/>
        <w:rPr>
          <w:rFonts w:ascii="Arial" w:eastAsia="Calibri" w:hAnsi="Arial" w:cs="Arial"/>
          <w:spacing w:val="-1"/>
          <w:sz w:val="17"/>
          <w:szCs w:val="17"/>
        </w:rPr>
      </w:pPr>
    </w:p>
    <w:p w:rsidR="00D77007" w:rsidRDefault="00D77007" w:rsidP="00F47B33">
      <w:pPr>
        <w:pStyle w:val="Prrafodelista"/>
        <w:numPr>
          <w:ilvl w:val="0"/>
          <w:numId w:val="41"/>
        </w:numPr>
        <w:spacing w:before="80" w:line="240" w:lineRule="exact"/>
        <w:ind w:left="851" w:firstLine="0"/>
        <w:jc w:val="both"/>
        <w:rPr>
          <w:rFonts w:ascii="Arial" w:eastAsia="Calibri" w:hAnsi="Arial" w:cs="Arial"/>
          <w:spacing w:val="-1"/>
          <w:sz w:val="17"/>
          <w:szCs w:val="17"/>
        </w:rPr>
      </w:pPr>
      <w:r w:rsidRPr="00F47B33">
        <w:rPr>
          <w:rFonts w:ascii="Arial" w:eastAsia="Calibri" w:hAnsi="Arial" w:cs="Arial"/>
          <w:spacing w:val="-1"/>
          <w:sz w:val="17"/>
          <w:szCs w:val="17"/>
        </w:rPr>
        <w:t>En el grupo de donaciones de capital se registraban las donaciones otorgadas al Poder Ejecutivo, lo cual incumplía lo estipulado en la Ley General de Contabilidad Gubernamental.</w:t>
      </w:r>
    </w:p>
    <w:p w:rsidR="0099467F" w:rsidRPr="0099467F" w:rsidRDefault="0099467F" w:rsidP="0099467F">
      <w:pPr>
        <w:pStyle w:val="Prrafodelista"/>
        <w:rPr>
          <w:rFonts w:ascii="Arial" w:eastAsia="Calibri" w:hAnsi="Arial" w:cs="Arial"/>
          <w:spacing w:val="-1"/>
          <w:sz w:val="17"/>
          <w:szCs w:val="17"/>
        </w:rPr>
      </w:pPr>
    </w:p>
    <w:p w:rsidR="0099467F" w:rsidRPr="00F47B33" w:rsidRDefault="0099467F" w:rsidP="0099467F">
      <w:pPr>
        <w:pStyle w:val="Prrafodelista"/>
        <w:spacing w:before="80" w:line="240" w:lineRule="exact"/>
        <w:ind w:left="851"/>
        <w:jc w:val="both"/>
        <w:rPr>
          <w:rFonts w:ascii="Arial" w:eastAsia="Calibri" w:hAnsi="Arial" w:cs="Arial"/>
          <w:spacing w:val="-1"/>
          <w:sz w:val="17"/>
          <w:szCs w:val="17"/>
        </w:rPr>
      </w:pPr>
    </w:p>
    <w:p w:rsidR="00D77007" w:rsidRPr="00F47B33" w:rsidRDefault="00584B26" w:rsidP="00F47B33">
      <w:pPr>
        <w:pStyle w:val="Prrafodelista"/>
        <w:numPr>
          <w:ilvl w:val="0"/>
          <w:numId w:val="41"/>
        </w:numPr>
        <w:spacing w:before="80" w:line="240" w:lineRule="exact"/>
        <w:ind w:left="851" w:firstLine="0"/>
        <w:jc w:val="both"/>
        <w:rPr>
          <w:rFonts w:ascii="Arial" w:eastAsia="Calibri" w:hAnsi="Arial" w:cs="Arial"/>
          <w:spacing w:val="-1"/>
          <w:sz w:val="17"/>
          <w:szCs w:val="17"/>
        </w:rPr>
      </w:pPr>
      <w:r w:rsidRPr="00F47B33">
        <w:rPr>
          <w:rFonts w:ascii="Arial" w:eastAsia="Calibri" w:hAnsi="Arial" w:cs="Arial"/>
          <w:spacing w:val="-1"/>
          <w:sz w:val="17"/>
          <w:szCs w:val="17"/>
        </w:rPr>
        <w:t>En el grupo de rectificaciones de resultados de ejercicios anteriores, se realizaban el registro en la partida de errores contables</w:t>
      </w:r>
      <w:r w:rsidR="00B5670C" w:rsidRPr="00F47B33">
        <w:rPr>
          <w:rFonts w:ascii="Arial" w:eastAsia="Calibri" w:hAnsi="Arial" w:cs="Arial"/>
          <w:spacing w:val="-1"/>
          <w:sz w:val="17"/>
          <w:szCs w:val="17"/>
        </w:rPr>
        <w:t xml:space="preserve"> </w:t>
      </w:r>
      <w:r w:rsidR="00934309" w:rsidRPr="00F47B33">
        <w:rPr>
          <w:rFonts w:ascii="Arial" w:eastAsia="Calibri" w:hAnsi="Arial" w:cs="Arial"/>
          <w:spacing w:val="-1"/>
          <w:sz w:val="17"/>
          <w:szCs w:val="17"/>
        </w:rPr>
        <w:t>afectaciones</w:t>
      </w:r>
      <w:r w:rsidR="00B5670C" w:rsidRPr="00F47B33">
        <w:rPr>
          <w:rFonts w:ascii="Arial" w:eastAsia="Calibri" w:hAnsi="Arial" w:cs="Arial"/>
          <w:spacing w:val="-1"/>
          <w:sz w:val="17"/>
          <w:szCs w:val="17"/>
        </w:rPr>
        <w:t xml:space="preserve"> que correspondían a resultados de ejercicios anteriores.</w:t>
      </w:r>
    </w:p>
    <w:p w:rsidR="00DA667A" w:rsidRDefault="00DA667A" w:rsidP="00F47B33">
      <w:pPr>
        <w:spacing w:before="80" w:line="240" w:lineRule="exact"/>
        <w:ind w:left="851"/>
        <w:jc w:val="both"/>
        <w:rPr>
          <w:rFonts w:ascii="Arial" w:eastAsia="Calibri" w:hAnsi="Arial" w:cs="Arial"/>
          <w:spacing w:val="-1"/>
          <w:sz w:val="17"/>
          <w:szCs w:val="17"/>
        </w:rPr>
      </w:pPr>
    </w:p>
    <w:p w:rsidR="0099467F" w:rsidRPr="00F47B33" w:rsidRDefault="0099467F" w:rsidP="00F47B33">
      <w:pPr>
        <w:spacing w:before="80" w:line="240" w:lineRule="exact"/>
        <w:ind w:left="851"/>
        <w:jc w:val="both"/>
        <w:rPr>
          <w:rFonts w:ascii="Arial" w:eastAsia="Calibri" w:hAnsi="Arial" w:cs="Arial"/>
          <w:spacing w:val="-1"/>
          <w:sz w:val="17"/>
          <w:szCs w:val="17"/>
        </w:rPr>
      </w:pPr>
    </w:p>
    <w:p w:rsidR="00DA667A" w:rsidRPr="00F47B33" w:rsidRDefault="00DA667A" w:rsidP="00F47B33">
      <w:pPr>
        <w:spacing w:before="80" w:line="240" w:lineRule="exact"/>
        <w:ind w:left="851"/>
        <w:jc w:val="both"/>
        <w:rPr>
          <w:rFonts w:ascii="Arial" w:eastAsia="Calibri" w:hAnsi="Arial" w:cs="Arial"/>
          <w:spacing w:val="-1"/>
          <w:sz w:val="17"/>
          <w:szCs w:val="17"/>
        </w:rPr>
      </w:pPr>
      <w:r w:rsidRPr="00F47B33">
        <w:rPr>
          <w:rFonts w:ascii="Arial" w:eastAsia="Calibri" w:hAnsi="Arial" w:cs="Arial"/>
          <w:spacing w:val="-1"/>
          <w:sz w:val="17"/>
          <w:szCs w:val="17"/>
        </w:rPr>
        <w:lastRenderedPageBreak/>
        <w:t>Se utilizarán cuentas específicas de resultados de ejercicios anteriores que correspondan a cinco ejercicios fiscales anteriores al ejercicio fiscal en curso.</w:t>
      </w:r>
    </w:p>
    <w:p w:rsidR="00F47B33" w:rsidRPr="0099467F" w:rsidRDefault="00F71E5C" w:rsidP="0099467F">
      <w:pPr>
        <w:spacing w:before="80" w:line="240" w:lineRule="exact"/>
        <w:ind w:left="851"/>
        <w:jc w:val="both"/>
        <w:rPr>
          <w:rFonts w:ascii="Arial" w:eastAsia="Calibri" w:hAnsi="Arial" w:cs="Arial"/>
          <w:spacing w:val="-1"/>
          <w:sz w:val="17"/>
          <w:szCs w:val="17"/>
        </w:rPr>
      </w:pPr>
      <w:r w:rsidRPr="00F47B33">
        <w:rPr>
          <w:rFonts w:ascii="Arial" w:eastAsia="Calibri" w:hAnsi="Arial" w:cs="Arial"/>
          <w:spacing w:val="-1"/>
          <w:sz w:val="17"/>
          <w:szCs w:val="17"/>
        </w:rPr>
        <w:t>En cuanto a las políticas para el cálculo de la</w:t>
      </w:r>
      <w:r w:rsidRPr="00BA272D">
        <w:rPr>
          <w:rFonts w:ascii="Arial" w:eastAsia="Calibri" w:hAnsi="Arial" w:cs="Arial"/>
          <w:spacing w:val="-1"/>
          <w:sz w:val="17"/>
          <w:szCs w:val="17"/>
        </w:rPr>
        <w:t xml:space="preserve"> reserva actuarial, éstas se encuentran plasmadas en el estudio actuarial realizado al Poder Ejecutivo del Estado de Querétaro el cual en cumplimiento al artículo 5 fracción V de la Ley de Disciplina Financiera de las Entidades Federativas y los Municipio forma parte integral en el proyecto de Presupues</w:t>
      </w:r>
      <w:r w:rsidR="0099467F">
        <w:rPr>
          <w:rFonts w:ascii="Arial" w:eastAsia="Calibri" w:hAnsi="Arial" w:cs="Arial"/>
          <w:spacing w:val="-1"/>
          <w:sz w:val="17"/>
          <w:szCs w:val="17"/>
        </w:rPr>
        <w:t>tos de Egresos:</w:t>
      </w:r>
    </w:p>
    <w:p w:rsidR="002B2748" w:rsidRPr="00BA272D" w:rsidRDefault="002B2748" w:rsidP="002B2748">
      <w:pPr>
        <w:spacing w:before="80" w:line="240" w:lineRule="exact"/>
        <w:ind w:left="567"/>
        <w:jc w:val="center"/>
        <w:rPr>
          <w:rFonts w:ascii="Arial" w:eastAsia="Calibri" w:hAnsi="Arial" w:cs="Arial"/>
          <w:b/>
          <w:spacing w:val="-1"/>
          <w:sz w:val="17"/>
          <w:szCs w:val="17"/>
        </w:rPr>
      </w:pPr>
      <w:r w:rsidRPr="00BA272D">
        <w:rPr>
          <w:rFonts w:ascii="Arial" w:eastAsia="Calibri" w:hAnsi="Arial" w:cs="Arial"/>
          <w:b/>
          <w:spacing w:val="-1"/>
          <w:sz w:val="17"/>
          <w:szCs w:val="17"/>
        </w:rPr>
        <w:t>Artículo 5, Fracción V, Estudio actuarial de pensiones (formato CONAC).</w:t>
      </w:r>
    </w:p>
    <w:p w:rsidR="002B2748" w:rsidRPr="00BA272D" w:rsidRDefault="002B2748" w:rsidP="002B2748">
      <w:pPr>
        <w:spacing w:before="80" w:line="240" w:lineRule="exact"/>
        <w:ind w:left="567"/>
        <w:jc w:val="center"/>
        <w:rPr>
          <w:rFonts w:ascii="Arial" w:eastAsia="Calibri" w:hAnsi="Arial" w:cs="Arial"/>
          <w:b/>
          <w:spacing w:val="-1"/>
          <w:sz w:val="17"/>
          <w:szCs w:val="17"/>
        </w:rPr>
      </w:pPr>
      <w:r w:rsidRPr="00BA272D">
        <w:rPr>
          <w:rFonts w:ascii="Arial" w:eastAsia="Calibri" w:hAnsi="Arial" w:cs="Arial"/>
          <w:b/>
          <w:spacing w:val="-1"/>
          <w:sz w:val="17"/>
          <w:szCs w:val="17"/>
        </w:rPr>
        <w:t>Poder Ejecutivo del Estado de Querétaro</w:t>
      </w:r>
    </w:p>
    <w:p w:rsidR="002B2748" w:rsidRDefault="002B2748" w:rsidP="002B2748">
      <w:pPr>
        <w:spacing w:before="80" w:line="240" w:lineRule="exact"/>
        <w:ind w:left="567"/>
        <w:jc w:val="center"/>
        <w:rPr>
          <w:rFonts w:ascii="Arial" w:eastAsia="Calibri" w:hAnsi="Arial" w:cs="Arial"/>
          <w:b/>
          <w:spacing w:val="-1"/>
          <w:sz w:val="17"/>
          <w:szCs w:val="17"/>
        </w:rPr>
      </w:pPr>
      <w:r w:rsidRPr="00BA272D">
        <w:rPr>
          <w:rFonts w:ascii="Arial" w:eastAsia="Calibri" w:hAnsi="Arial" w:cs="Arial"/>
          <w:b/>
          <w:spacing w:val="-1"/>
          <w:sz w:val="17"/>
          <w:szCs w:val="17"/>
        </w:rPr>
        <w:t>Informe sobre Estudios Actuariales – LDF</w:t>
      </w:r>
    </w:p>
    <w:p w:rsidR="002B2748" w:rsidRDefault="0099467F" w:rsidP="00ED0269">
      <w:pPr>
        <w:spacing w:before="80" w:line="240" w:lineRule="exact"/>
        <w:ind w:left="567"/>
        <w:jc w:val="both"/>
        <w:rPr>
          <w:rFonts w:ascii="Arial" w:eastAsia="Calibri" w:hAnsi="Arial" w:cs="Arial"/>
          <w:b/>
          <w:spacing w:val="-1"/>
          <w:sz w:val="17"/>
          <w:szCs w:val="17"/>
        </w:rPr>
      </w:pPr>
      <w:r w:rsidRPr="002B2748">
        <w:rPr>
          <w:rFonts w:eastAsia="Calibri"/>
          <w:noProof/>
        </w:rPr>
        <w:drawing>
          <wp:anchor distT="0" distB="0" distL="114300" distR="114300" simplePos="0" relativeHeight="251666432" behindDoc="0" locked="0" layoutInCell="1" allowOverlap="1">
            <wp:simplePos x="0" y="0"/>
            <wp:positionH relativeFrom="column">
              <wp:posOffset>1892055</wp:posOffset>
            </wp:positionH>
            <wp:positionV relativeFrom="paragraph">
              <wp:posOffset>47820</wp:posOffset>
            </wp:positionV>
            <wp:extent cx="5178425" cy="4581525"/>
            <wp:effectExtent l="0" t="0" r="317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8425"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748" w:rsidRDefault="002B2748" w:rsidP="002B2748">
      <w:pPr>
        <w:spacing w:before="80" w:line="240" w:lineRule="exact"/>
        <w:jc w:val="both"/>
        <w:rPr>
          <w:rFonts w:ascii="Arial" w:eastAsia="Calibri" w:hAnsi="Arial" w:cs="Arial"/>
          <w:b/>
          <w:noProof/>
          <w:spacing w:val="-1"/>
          <w:sz w:val="17"/>
          <w:szCs w:val="17"/>
        </w:rPr>
      </w:pPr>
    </w:p>
    <w:p w:rsidR="002B2748" w:rsidRDefault="002B2748" w:rsidP="002B2748">
      <w:pPr>
        <w:spacing w:before="80" w:line="240" w:lineRule="exact"/>
        <w:jc w:val="both"/>
        <w:rPr>
          <w:rFonts w:ascii="Arial" w:eastAsia="Calibri" w:hAnsi="Arial" w:cs="Arial"/>
          <w:b/>
          <w:noProof/>
          <w:spacing w:val="-1"/>
          <w:sz w:val="17"/>
          <w:szCs w:val="17"/>
        </w:rPr>
      </w:pPr>
    </w:p>
    <w:p w:rsidR="002B2748" w:rsidRPr="00BA272D" w:rsidRDefault="002B2748" w:rsidP="002B2748">
      <w:pPr>
        <w:spacing w:before="80" w:line="240" w:lineRule="exact"/>
        <w:jc w:val="both"/>
        <w:rPr>
          <w:rFonts w:ascii="Arial" w:eastAsia="Calibri" w:hAnsi="Arial" w:cs="Arial"/>
          <w:b/>
          <w:spacing w:val="-1"/>
          <w:sz w:val="17"/>
          <w:szCs w:val="17"/>
        </w:rPr>
      </w:pPr>
    </w:p>
    <w:p w:rsidR="00F71E5C" w:rsidRDefault="00F71E5C"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Default="002B2748" w:rsidP="002B2748">
      <w:pPr>
        <w:spacing w:before="80" w:line="240" w:lineRule="exact"/>
        <w:ind w:left="567"/>
        <w:jc w:val="both"/>
        <w:rPr>
          <w:rFonts w:ascii="Arial" w:eastAsia="Calibri" w:hAnsi="Arial" w:cs="Arial"/>
          <w:b/>
          <w:spacing w:val="-1"/>
          <w:sz w:val="17"/>
          <w:szCs w:val="17"/>
        </w:rPr>
      </w:pPr>
    </w:p>
    <w:p w:rsidR="002B2748" w:rsidRPr="00BA272D" w:rsidRDefault="002B2748" w:rsidP="002B2748">
      <w:pPr>
        <w:spacing w:before="80" w:line="240" w:lineRule="exact"/>
        <w:ind w:left="567"/>
        <w:jc w:val="both"/>
        <w:rPr>
          <w:rFonts w:ascii="Arial" w:eastAsia="Calibri" w:hAnsi="Arial" w:cs="Arial"/>
          <w:b/>
          <w:spacing w:val="-1"/>
          <w:sz w:val="17"/>
          <w:szCs w:val="17"/>
        </w:rPr>
      </w:pPr>
    </w:p>
    <w:p w:rsidR="00F71E5C" w:rsidRPr="00BA272D" w:rsidRDefault="00F71E5C" w:rsidP="00ED0269">
      <w:pPr>
        <w:spacing w:before="80" w:line="240" w:lineRule="exact"/>
        <w:ind w:left="567"/>
        <w:jc w:val="center"/>
        <w:rPr>
          <w:rFonts w:ascii="Arial" w:eastAsia="Calibri" w:hAnsi="Arial" w:cs="Arial"/>
          <w:b/>
          <w:spacing w:val="-1"/>
          <w:sz w:val="17"/>
          <w:szCs w:val="17"/>
        </w:rPr>
      </w:pPr>
    </w:p>
    <w:p w:rsidR="00F71E5C" w:rsidRPr="00BA272D" w:rsidRDefault="00F71E5C" w:rsidP="00ED0269">
      <w:pPr>
        <w:spacing w:before="80" w:line="240" w:lineRule="exact"/>
        <w:ind w:left="567"/>
        <w:jc w:val="center"/>
        <w:rPr>
          <w:rFonts w:ascii="Arial" w:eastAsia="Calibri" w:hAnsi="Arial" w:cs="Arial"/>
          <w:spacing w:val="-1"/>
          <w:sz w:val="17"/>
          <w:szCs w:val="17"/>
        </w:rPr>
      </w:pPr>
    </w:p>
    <w:p w:rsidR="00F71E5C" w:rsidRPr="00BA272D" w:rsidRDefault="00F71E5C" w:rsidP="00764A61">
      <w:pPr>
        <w:spacing w:before="80" w:line="240" w:lineRule="exact"/>
        <w:jc w:val="both"/>
        <w:rPr>
          <w:rFonts w:ascii="Arial" w:eastAsia="Calibri" w:hAnsi="Arial" w:cs="Arial"/>
          <w:spacing w:val="-1"/>
          <w:sz w:val="17"/>
          <w:szCs w:val="17"/>
        </w:rPr>
      </w:pPr>
    </w:p>
    <w:p w:rsidR="00F71E5C" w:rsidRDefault="00F71E5C"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B555B3" w:rsidP="00764A61">
      <w:pPr>
        <w:spacing w:before="80" w:line="240" w:lineRule="exact"/>
        <w:jc w:val="both"/>
        <w:rPr>
          <w:rFonts w:ascii="Arial" w:eastAsia="Calibri" w:hAnsi="Arial" w:cs="Arial"/>
          <w:spacing w:val="-1"/>
          <w:sz w:val="17"/>
          <w:szCs w:val="17"/>
        </w:rPr>
      </w:pPr>
      <w:r w:rsidRPr="002B2748">
        <w:rPr>
          <w:rFonts w:eastAsia="Calibri"/>
          <w:noProof/>
        </w:rPr>
        <w:lastRenderedPageBreak/>
        <w:drawing>
          <wp:anchor distT="0" distB="0" distL="114300" distR="114300" simplePos="0" relativeHeight="251667456" behindDoc="0" locked="0" layoutInCell="1" allowOverlap="1">
            <wp:simplePos x="0" y="0"/>
            <wp:positionH relativeFrom="page">
              <wp:posOffset>2546985</wp:posOffset>
            </wp:positionH>
            <wp:positionV relativeFrom="paragraph">
              <wp:posOffset>58420</wp:posOffset>
            </wp:positionV>
            <wp:extent cx="5120005" cy="5449570"/>
            <wp:effectExtent l="0" t="0" r="444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005" cy="544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2B2748" w:rsidRDefault="002B2748" w:rsidP="00764A61">
      <w:pPr>
        <w:spacing w:before="80" w:line="240" w:lineRule="exact"/>
        <w:jc w:val="both"/>
        <w:rPr>
          <w:rFonts w:ascii="Arial" w:eastAsia="Calibri" w:hAnsi="Arial" w:cs="Arial"/>
          <w:spacing w:val="-1"/>
          <w:sz w:val="17"/>
          <w:szCs w:val="17"/>
        </w:rPr>
      </w:pPr>
    </w:p>
    <w:p w:rsidR="00CF0629" w:rsidRDefault="00CF0629" w:rsidP="00764A61">
      <w:pPr>
        <w:spacing w:before="80" w:line="240" w:lineRule="exact"/>
        <w:jc w:val="both"/>
        <w:rPr>
          <w:rFonts w:ascii="Arial" w:eastAsia="Calibri" w:hAnsi="Arial" w:cs="Arial"/>
          <w:spacing w:val="-1"/>
          <w:sz w:val="17"/>
          <w:szCs w:val="17"/>
        </w:rPr>
      </w:pPr>
    </w:p>
    <w:p w:rsidR="00CF0629" w:rsidRDefault="00CF0629" w:rsidP="00764A61">
      <w:pPr>
        <w:spacing w:before="80" w:line="240" w:lineRule="exact"/>
        <w:jc w:val="both"/>
        <w:rPr>
          <w:rFonts w:ascii="Arial" w:eastAsia="Calibri" w:hAnsi="Arial" w:cs="Arial"/>
          <w:spacing w:val="-1"/>
          <w:sz w:val="17"/>
          <w:szCs w:val="17"/>
        </w:rPr>
      </w:pPr>
    </w:p>
    <w:p w:rsidR="00CF0629" w:rsidRDefault="00CF0629" w:rsidP="00764A61">
      <w:pPr>
        <w:spacing w:before="80" w:line="240" w:lineRule="exact"/>
        <w:jc w:val="both"/>
        <w:rPr>
          <w:rFonts w:ascii="Arial" w:eastAsia="Calibri" w:hAnsi="Arial" w:cs="Arial"/>
          <w:spacing w:val="-1"/>
          <w:sz w:val="17"/>
          <w:szCs w:val="17"/>
        </w:rPr>
      </w:pPr>
    </w:p>
    <w:p w:rsidR="00CF0629" w:rsidRDefault="00CF0629" w:rsidP="00764A61">
      <w:pPr>
        <w:spacing w:before="80" w:line="240" w:lineRule="exact"/>
        <w:jc w:val="both"/>
        <w:rPr>
          <w:rFonts w:ascii="Arial" w:eastAsia="Calibri" w:hAnsi="Arial" w:cs="Arial"/>
          <w:spacing w:val="-1"/>
          <w:sz w:val="17"/>
          <w:szCs w:val="17"/>
        </w:rPr>
      </w:pPr>
    </w:p>
    <w:p w:rsidR="002B2748" w:rsidRPr="00BA272D" w:rsidRDefault="002B2748" w:rsidP="00764A61">
      <w:pPr>
        <w:spacing w:before="80" w:line="240" w:lineRule="exact"/>
        <w:jc w:val="both"/>
        <w:rPr>
          <w:rFonts w:ascii="Arial" w:eastAsia="Calibri" w:hAnsi="Arial" w:cs="Arial"/>
          <w:spacing w:val="-1"/>
          <w:sz w:val="17"/>
          <w:szCs w:val="17"/>
        </w:rPr>
      </w:pP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lastRenderedPageBreak/>
        <w:t>Para el efecto que tiene las correcciones de errores en la información financiera, estos son revelados en las Notas de Desglose, en particular en lo que se observa en las Notas al Estado de Variación en la Hacienda Pública.</w:t>
      </w:r>
      <w:r w:rsidR="005F10F6" w:rsidRPr="005F10F6">
        <w:rPr>
          <w:rFonts w:ascii="Arial" w:eastAsia="Calibri" w:hAnsi="Arial" w:cs="Arial"/>
          <w:noProof/>
          <w:spacing w:val="-1"/>
          <w:sz w:val="17"/>
          <w:szCs w:val="17"/>
        </w:rPr>
        <w:t xml:space="preserve"> </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lo referente a la Depuración y cancelación de saldos, las políticas particulares están contenidas en el Anexo II del Manual de Contabilidad Gubernamental del Poder Ejecutivo del Estado de Querétaro.</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obras que se encuentran en proceso de ser concluidas.</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Poder Ejecutivo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y en Otros Gastos y Pérdidas Extraordinarias.</w:t>
      </w:r>
    </w:p>
    <w:p w:rsidR="00F71E5C" w:rsidRPr="00BA272D" w:rsidRDefault="00F71E5C" w:rsidP="0099467F">
      <w:pPr>
        <w:spacing w:before="80" w:line="240" w:lineRule="exact"/>
        <w:rPr>
          <w:rFonts w:ascii="Arial" w:eastAsia="Calibri" w:hAnsi="Arial" w:cs="Arial"/>
          <w:spacing w:val="-1"/>
          <w:sz w:val="17"/>
          <w:szCs w:val="17"/>
        </w:rPr>
      </w:pPr>
    </w:p>
    <w:p w:rsidR="00F71E5C" w:rsidRPr="00BA272D" w:rsidRDefault="00F71E5C" w:rsidP="00F47B33">
      <w:pPr>
        <w:pStyle w:val="Prrafodelista"/>
        <w:numPr>
          <w:ilvl w:val="0"/>
          <w:numId w:val="11"/>
        </w:num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Posición en Moneda Extranjera y Protección por Riesgo Cambiario</w:t>
      </w:r>
    </w:p>
    <w:p w:rsidR="00F71E5C"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Se informa que no existen posiciones en Moneda Extranjera.</w:t>
      </w:r>
    </w:p>
    <w:p w:rsidR="00CC6521" w:rsidRPr="00BA272D" w:rsidRDefault="00CC6521" w:rsidP="00F47B33">
      <w:pPr>
        <w:spacing w:before="80" w:line="240" w:lineRule="exact"/>
        <w:ind w:left="851"/>
        <w:jc w:val="both"/>
        <w:rPr>
          <w:rFonts w:ascii="Arial" w:eastAsia="Calibri" w:hAnsi="Arial" w:cs="Arial"/>
          <w:spacing w:val="-1"/>
          <w:sz w:val="17"/>
          <w:szCs w:val="17"/>
        </w:rPr>
      </w:pPr>
    </w:p>
    <w:p w:rsidR="00F71E5C" w:rsidRPr="00BA272D" w:rsidRDefault="00F71E5C" w:rsidP="00F47B33">
      <w:pPr>
        <w:pStyle w:val="Prrafodelista"/>
        <w:numPr>
          <w:ilvl w:val="0"/>
          <w:numId w:val="11"/>
        </w:num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Reporte Analítico del Activo</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Para efecto del Estado Analítico del Activo se comenta lo siguiente:</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cuanto a la vida útil, porcentajes de depreciación y amortización de los diferentes tipos de activos no circulantes, se encuentran revelados en las Notas de Desglose, en particular en las Notas al Estado de Situación Financiera, en el apartado “Bienes Muebles, Inmuebles e Intangibles”.</w:t>
      </w:r>
    </w:p>
    <w:p w:rsidR="00F71E5C"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En cuanto al Importe de los gastos capitalizados en el ejercicio, tanto financieros como de investigación y desarrollo; </w:t>
      </w:r>
      <w:r w:rsidR="00AB2E64">
        <w:rPr>
          <w:rFonts w:ascii="Arial" w:eastAsia="Calibri" w:hAnsi="Arial" w:cs="Arial"/>
          <w:spacing w:val="-1"/>
          <w:sz w:val="17"/>
          <w:szCs w:val="17"/>
        </w:rPr>
        <w:t>r</w:t>
      </w:r>
      <w:r w:rsidRPr="00BA272D">
        <w:rPr>
          <w:rFonts w:ascii="Arial" w:eastAsia="Calibri" w:hAnsi="Arial" w:cs="Arial"/>
          <w:spacing w:val="-1"/>
          <w:sz w:val="17"/>
          <w:szCs w:val="17"/>
        </w:rPr>
        <w:t>iesgos por tipo de cambio o tipo de interés de las in</w:t>
      </w:r>
      <w:r w:rsidR="00AB2E64">
        <w:rPr>
          <w:rFonts w:ascii="Arial" w:eastAsia="Calibri" w:hAnsi="Arial" w:cs="Arial"/>
          <w:spacing w:val="-1"/>
          <w:sz w:val="17"/>
          <w:szCs w:val="17"/>
        </w:rPr>
        <w:t>versiones financieras; v</w:t>
      </w:r>
      <w:r w:rsidRPr="00BA272D">
        <w:rPr>
          <w:rFonts w:ascii="Arial" w:eastAsia="Calibri" w:hAnsi="Arial" w:cs="Arial"/>
          <w:spacing w:val="-1"/>
          <w:sz w:val="17"/>
          <w:szCs w:val="17"/>
        </w:rPr>
        <w:t>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w:t>
      </w:r>
      <w:r w:rsidR="00AB2E64">
        <w:rPr>
          <w:rFonts w:ascii="Arial" w:eastAsia="Calibri" w:hAnsi="Arial" w:cs="Arial"/>
          <w:spacing w:val="-1"/>
          <w:sz w:val="17"/>
          <w:szCs w:val="17"/>
        </w:rPr>
        <w:t xml:space="preserve">ás efectiva, </w:t>
      </w:r>
      <w:r w:rsidRPr="00BA272D">
        <w:rPr>
          <w:rFonts w:ascii="Arial" w:eastAsia="Calibri" w:hAnsi="Arial" w:cs="Arial"/>
          <w:spacing w:val="-1"/>
          <w:sz w:val="17"/>
          <w:szCs w:val="17"/>
        </w:rPr>
        <w:t>no existe información a revelar.</w:t>
      </w:r>
    </w:p>
    <w:p w:rsidR="00AB2E64" w:rsidRPr="00BA272D" w:rsidRDefault="00AB2E64" w:rsidP="00F47B33">
      <w:pPr>
        <w:spacing w:before="80" w:line="240" w:lineRule="exact"/>
        <w:ind w:left="851"/>
        <w:jc w:val="both"/>
        <w:rPr>
          <w:rFonts w:ascii="Arial" w:eastAsia="Calibri" w:hAnsi="Arial" w:cs="Arial"/>
          <w:spacing w:val="-1"/>
          <w:sz w:val="17"/>
          <w:szCs w:val="17"/>
        </w:rPr>
      </w:pPr>
    </w:p>
    <w:p w:rsidR="00F71E5C" w:rsidRPr="00AB2E64" w:rsidRDefault="00F71E5C" w:rsidP="00F47B33">
      <w:pPr>
        <w:pStyle w:val="Prrafodelista"/>
        <w:numPr>
          <w:ilvl w:val="0"/>
          <w:numId w:val="11"/>
        </w:numPr>
        <w:spacing w:before="80" w:line="240" w:lineRule="exact"/>
        <w:ind w:left="851"/>
        <w:jc w:val="both"/>
        <w:rPr>
          <w:rFonts w:ascii="Arial" w:eastAsia="Calibri" w:hAnsi="Arial" w:cs="Arial"/>
          <w:b/>
          <w:spacing w:val="-1"/>
          <w:sz w:val="17"/>
          <w:szCs w:val="17"/>
        </w:rPr>
      </w:pPr>
      <w:r w:rsidRPr="00AB2E64">
        <w:rPr>
          <w:rFonts w:ascii="Arial" w:eastAsia="Calibri" w:hAnsi="Arial" w:cs="Arial"/>
          <w:b/>
          <w:spacing w:val="-1"/>
          <w:sz w:val="17"/>
          <w:szCs w:val="17"/>
        </w:rPr>
        <w:t>Participaciones y Aportaciones de Capital se tiene lo siguiente:</w:t>
      </w:r>
    </w:p>
    <w:p w:rsidR="00F71E5C" w:rsidRPr="00BA272D" w:rsidRDefault="00F71E5C" w:rsidP="00F47B33">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saldo que se presenta en la cuenta Participaciones y Aportaciones de Capital a Largo Plazo en el Sector Público corresponde a la Participación de la Hacienda Pública que tiene el Poder Ejecutivo en las Entidades Paraesta</w:t>
      </w:r>
      <w:r w:rsidR="00D01389" w:rsidRPr="00BA272D">
        <w:rPr>
          <w:rFonts w:ascii="Arial" w:eastAsia="Calibri" w:hAnsi="Arial" w:cs="Arial"/>
          <w:spacing w:val="-1"/>
          <w:sz w:val="17"/>
          <w:szCs w:val="17"/>
        </w:rPr>
        <w:t>tales al 31 de diciembre de 2021</w:t>
      </w:r>
      <w:r w:rsidRPr="00BA272D">
        <w:rPr>
          <w:rFonts w:ascii="Arial" w:eastAsia="Calibri" w:hAnsi="Arial" w:cs="Arial"/>
          <w:spacing w:val="-1"/>
          <w:sz w:val="17"/>
          <w:szCs w:val="17"/>
        </w:rPr>
        <w:t xml:space="preserve"> y el cual ha</w:t>
      </w:r>
      <w:r w:rsidR="00A43C7C">
        <w:rPr>
          <w:rFonts w:ascii="Arial" w:eastAsia="Calibri" w:hAnsi="Arial" w:cs="Arial"/>
          <w:spacing w:val="-1"/>
          <w:sz w:val="17"/>
          <w:szCs w:val="17"/>
        </w:rPr>
        <w:t xml:space="preserve"> sido confirmado por las Entidades.</w:t>
      </w:r>
      <w:r w:rsidRPr="00BA272D">
        <w:rPr>
          <w:rFonts w:ascii="Arial" w:eastAsia="Calibri" w:hAnsi="Arial" w:cs="Arial"/>
          <w:spacing w:val="-1"/>
          <w:sz w:val="17"/>
          <w:szCs w:val="17"/>
        </w:rPr>
        <w:t xml:space="preserve"> </w:t>
      </w:r>
      <w:r w:rsidR="00A43C7C">
        <w:rPr>
          <w:rFonts w:ascii="Arial" w:eastAsia="Calibri" w:hAnsi="Arial" w:cs="Arial"/>
          <w:spacing w:val="-1"/>
          <w:sz w:val="17"/>
          <w:szCs w:val="17"/>
        </w:rPr>
        <w:t xml:space="preserve">Para el caso de las Entidades Paraestatales, la participación que se tiene en el patrimonio es del 100%, con excepción </w:t>
      </w:r>
      <w:r w:rsidRPr="00BA272D">
        <w:rPr>
          <w:rFonts w:ascii="Arial" w:eastAsia="Calibri" w:hAnsi="Arial" w:cs="Arial"/>
          <w:spacing w:val="-1"/>
          <w:sz w:val="17"/>
          <w:szCs w:val="17"/>
        </w:rPr>
        <w:t>del Aeropuerto Intercontinent</w:t>
      </w:r>
      <w:r w:rsidR="00A43C7C">
        <w:rPr>
          <w:rFonts w:ascii="Arial" w:eastAsia="Calibri" w:hAnsi="Arial" w:cs="Arial"/>
          <w:spacing w:val="-1"/>
          <w:sz w:val="17"/>
          <w:szCs w:val="17"/>
        </w:rPr>
        <w:t>al de Querétaro, S.A. de C.V el cual es del 75%.</w:t>
      </w:r>
    </w:p>
    <w:p w:rsidR="00843437" w:rsidRPr="00E341D8" w:rsidRDefault="00A43C7C" w:rsidP="00F47B33">
      <w:pPr>
        <w:spacing w:before="80" w:line="240" w:lineRule="exact"/>
        <w:ind w:left="851"/>
        <w:jc w:val="both"/>
        <w:rPr>
          <w:rFonts w:ascii="Arial" w:eastAsia="Calibri" w:hAnsi="Arial" w:cs="Arial"/>
          <w:spacing w:val="-1"/>
          <w:sz w:val="17"/>
          <w:szCs w:val="17"/>
        </w:rPr>
      </w:pPr>
      <w:r w:rsidRPr="00E341D8">
        <w:rPr>
          <w:rFonts w:ascii="Arial" w:eastAsia="Calibri" w:hAnsi="Arial" w:cs="Arial"/>
          <w:spacing w:val="-1"/>
          <w:sz w:val="17"/>
          <w:szCs w:val="17"/>
        </w:rPr>
        <w:t xml:space="preserve">En el caso de </w:t>
      </w:r>
      <w:r w:rsidR="00F71E5C" w:rsidRPr="00E341D8">
        <w:rPr>
          <w:rFonts w:ascii="Arial" w:eastAsia="Calibri" w:hAnsi="Arial" w:cs="Arial"/>
          <w:spacing w:val="-1"/>
          <w:sz w:val="17"/>
          <w:szCs w:val="17"/>
        </w:rPr>
        <w:t>la Universidad Autónoma de Querétaro</w:t>
      </w:r>
      <w:r w:rsidR="00843437" w:rsidRPr="00E341D8">
        <w:rPr>
          <w:rFonts w:ascii="Arial" w:eastAsia="Calibri" w:hAnsi="Arial" w:cs="Arial"/>
          <w:spacing w:val="-1"/>
          <w:sz w:val="17"/>
          <w:szCs w:val="17"/>
        </w:rPr>
        <w:t>,</w:t>
      </w:r>
      <w:r w:rsidR="00F71E5C" w:rsidRPr="00E341D8">
        <w:rPr>
          <w:rFonts w:ascii="Arial" w:eastAsia="Calibri" w:hAnsi="Arial" w:cs="Arial"/>
          <w:spacing w:val="-1"/>
          <w:sz w:val="17"/>
          <w:szCs w:val="17"/>
        </w:rPr>
        <w:t xml:space="preserve"> </w:t>
      </w:r>
      <w:r w:rsidRPr="00E341D8">
        <w:rPr>
          <w:rFonts w:ascii="Arial" w:eastAsia="Calibri" w:hAnsi="Arial" w:cs="Arial"/>
          <w:spacing w:val="-1"/>
          <w:sz w:val="17"/>
          <w:szCs w:val="17"/>
        </w:rPr>
        <w:t xml:space="preserve">el reconocimiento en su patrimonio es con </w:t>
      </w:r>
      <w:r w:rsidR="00843437" w:rsidRPr="00E341D8">
        <w:rPr>
          <w:rFonts w:ascii="Arial" w:eastAsia="Calibri" w:hAnsi="Arial" w:cs="Arial"/>
          <w:spacing w:val="-1"/>
          <w:sz w:val="17"/>
          <w:szCs w:val="17"/>
        </w:rPr>
        <w:t>cifra</w:t>
      </w:r>
      <w:r w:rsidRPr="00E341D8">
        <w:rPr>
          <w:rFonts w:ascii="Arial" w:eastAsia="Calibri" w:hAnsi="Arial" w:cs="Arial"/>
          <w:spacing w:val="-1"/>
          <w:sz w:val="17"/>
          <w:szCs w:val="17"/>
        </w:rPr>
        <w:t>s</w:t>
      </w:r>
      <w:r w:rsidR="00843437" w:rsidRPr="00E341D8">
        <w:rPr>
          <w:rFonts w:ascii="Arial" w:eastAsia="Calibri" w:hAnsi="Arial" w:cs="Arial"/>
          <w:spacing w:val="-1"/>
          <w:sz w:val="17"/>
          <w:szCs w:val="17"/>
        </w:rPr>
        <w:t xml:space="preserve"> corresponde al 31</w:t>
      </w:r>
      <w:r w:rsidR="00D01389" w:rsidRPr="00E341D8">
        <w:rPr>
          <w:rFonts w:ascii="Arial" w:eastAsia="Calibri" w:hAnsi="Arial" w:cs="Arial"/>
          <w:spacing w:val="-1"/>
          <w:sz w:val="17"/>
          <w:szCs w:val="17"/>
        </w:rPr>
        <w:t xml:space="preserve"> de diciembre de 2020</w:t>
      </w:r>
      <w:r w:rsidR="00F71E5C" w:rsidRPr="00E341D8">
        <w:rPr>
          <w:rFonts w:ascii="Arial" w:eastAsia="Calibri" w:hAnsi="Arial" w:cs="Arial"/>
          <w:spacing w:val="-1"/>
          <w:sz w:val="17"/>
          <w:szCs w:val="17"/>
        </w:rPr>
        <w:t>, toda vez que</w:t>
      </w:r>
      <w:r w:rsidR="00843437" w:rsidRPr="00E341D8">
        <w:rPr>
          <w:rFonts w:ascii="Arial" w:eastAsia="Calibri" w:hAnsi="Arial" w:cs="Arial"/>
          <w:spacing w:val="-1"/>
          <w:sz w:val="17"/>
          <w:szCs w:val="17"/>
        </w:rPr>
        <w:t xml:space="preserve"> son las cifras dictaminadas por despacho de auditoría externa c</w:t>
      </w:r>
      <w:r w:rsidRPr="00E341D8">
        <w:rPr>
          <w:rFonts w:ascii="Arial" w:eastAsia="Calibri" w:hAnsi="Arial" w:cs="Arial"/>
          <w:spacing w:val="-1"/>
          <w:sz w:val="17"/>
          <w:szCs w:val="17"/>
        </w:rPr>
        <w:t>on el que cuenta la Universidad y que fueron proporcionadas al Ejecutivo.</w:t>
      </w:r>
    </w:p>
    <w:p w:rsidR="0099467F" w:rsidRDefault="0099467F" w:rsidP="00F47B33">
      <w:pPr>
        <w:spacing w:before="80" w:line="250" w:lineRule="exact"/>
        <w:ind w:left="851"/>
        <w:jc w:val="both"/>
        <w:rPr>
          <w:rFonts w:ascii="Arial" w:eastAsia="Calibri" w:hAnsi="Arial" w:cs="Arial"/>
          <w:spacing w:val="-1"/>
          <w:sz w:val="17"/>
          <w:szCs w:val="17"/>
        </w:rPr>
      </w:pPr>
    </w:p>
    <w:p w:rsidR="0099467F" w:rsidRDefault="0099467F" w:rsidP="00F47B33">
      <w:pPr>
        <w:spacing w:before="80" w:line="250" w:lineRule="exact"/>
        <w:ind w:left="851"/>
        <w:jc w:val="both"/>
        <w:rPr>
          <w:rFonts w:ascii="Arial" w:eastAsia="Calibri" w:hAnsi="Arial" w:cs="Arial"/>
          <w:spacing w:val="-1"/>
          <w:sz w:val="17"/>
          <w:szCs w:val="17"/>
        </w:rPr>
      </w:pPr>
    </w:p>
    <w:p w:rsidR="0099467F" w:rsidRDefault="0099467F" w:rsidP="00F47B33">
      <w:pPr>
        <w:spacing w:before="80" w:line="250" w:lineRule="exact"/>
        <w:ind w:left="851"/>
        <w:jc w:val="both"/>
        <w:rPr>
          <w:rFonts w:ascii="Arial" w:eastAsia="Calibri" w:hAnsi="Arial" w:cs="Arial"/>
          <w:spacing w:val="-1"/>
          <w:sz w:val="17"/>
          <w:szCs w:val="17"/>
        </w:rPr>
      </w:pPr>
    </w:p>
    <w:p w:rsidR="00856FD9" w:rsidRPr="00E341D8" w:rsidRDefault="00856FD9" w:rsidP="00F47B33">
      <w:pPr>
        <w:spacing w:before="80" w:line="250" w:lineRule="exact"/>
        <w:ind w:left="851"/>
        <w:jc w:val="both"/>
        <w:rPr>
          <w:rFonts w:ascii="Arial" w:eastAsia="Calibri" w:hAnsi="Arial" w:cs="Arial"/>
          <w:spacing w:val="-1"/>
          <w:sz w:val="17"/>
          <w:szCs w:val="17"/>
        </w:rPr>
      </w:pPr>
      <w:r w:rsidRPr="00E341D8">
        <w:rPr>
          <w:rFonts w:ascii="Arial" w:eastAsia="Calibri" w:hAnsi="Arial" w:cs="Arial"/>
          <w:spacing w:val="-1"/>
          <w:sz w:val="17"/>
          <w:szCs w:val="17"/>
        </w:rPr>
        <w:lastRenderedPageBreak/>
        <w:t>En el rubro de Participaciones y Aportaciones de Capital a Largo Plazo en el Sector Privado</w:t>
      </w:r>
      <w:r w:rsidR="006B0C85" w:rsidRPr="00E341D8">
        <w:rPr>
          <w:rFonts w:ascii="Arial" w:eastAsia="Calibri" w:hAnsi="Arial" w:cs="Arial"/>
          <w:spacing w:val="-1"/>
          <w:sz w:val="17"/>
          <w:szCs w:val="17"/>
        </w:rPr>
        <w:t>, la</w:t>
      </w:r>
      <w:r w:rsidRPr="00E341D8">
        <w:rPr>
          <w:rFonts w:ascii="Arial" w:eastAsia="Calibri" w:hAnsi="Arial" w:cs="Arial"/>
          <w:spacing w:val="-1"/>
          <w:sz w:val="17"/>
          <w:szCs w:val="17"/>
        </w:rPr>
        <w:t xml:space="preserve"> cuenta Centro Sur, S.A. de C.V. se refleja la inversión que se tiene actualizada a valor de 2016 con base a los últimos estados financieros dictaminados</w:t>
      </w:r>
      <w:r w:rsidR="00312A2C" w:rsidRPr="00E341D8">
        <w:rPr>
          <w:rFonts w:ascii="Arial" w:eastAsia="Calibri" w:hAnsi="Arial" w:cs="Arial"/>
          <w:spacing w:val="-1"/>
          <w:sz w:val="17"/>
          <w:szCs w:val="17"/>
        </w:rPr>
        <w:t>,</w:t>
      </w:r>
      <w:r w:rsidRPr="00E341D8">
        <w:rPr>
          <w:rFonts w:ascii="Arial" w:eastAsia="Calibri" w:hAnsi="Arial" w:cs="Arial"/>
          <w:spacing w:val="-1"/>
          <w:sz w:val="17"/>
          <w:szCs w:val="17"/>
        </w:rPr>
        <w:t xml:space="preserve"> proporcionados por la Compañía.</w:t>
      </w:r>
      <w:r w:rsidR="006B0C85" w:rsidRPr="00E341D8">
        <w:rPr>
          <w:rFonts w:ascii="Arial" w:eastAsia="Calibri" w:hAnsi="Arial" w:cs="Arial"/>
          <w:spacing w:val="-1"/>
          <w:sz w:val="17"/>
          <w:szCs w:val="17"/>
        </w:rPr>
        <w:t xml:space="preserve"> Es importante resaltar que para el dictamen de auditores externos del ejercicio fiscal 2021, se solicitaron los estados financieros dictaminados a la compañía del 2021</w:t>
      </w:r>
      <w:r w:rsidR="009D26BC" w:rsidRPr="00E341D8">
        <w:rPr>
          <w:rFonts w:ascii="Arial" w:eastAsia="Calibri" w:hAnsi="Arial" w:cs="Arial"/>
          <w:spacing w:val="-1"/>
          <w:sz w:val="17"/>
          <w:szCs w:val="17"/>
        </w:rPr>
        <w:t xml:space="preserve">, sin localizar </w:t>
      </w:r>
      <w:r w:rsidR="004B3660" w:rsidRPr="00E341D8">
        <w:rPr>
          <w:rFonts w:ascii="Arial" w:eastAsia="Calibri" w:hAnsi="Arial" w:cs="Arial"/>
          <w:spacing w:val="-1"/>
          <w:sz w:val="17"/>
          <w:szCs w:val="17"/>
        </w:rPr>
        <w:t>al representante legal. Se informa también que con oficio SF/ST/2021/00093</w:t>
      </w:r>
      <w:r w:rsidR="00CC6521" w:rsidRPr="00E341D8">
        <w:rPr>
          <w:rFonts w:ascii="Arial" w:eastAsia="Calibri" w:hAnsi="Arial" w:cs="Arial"/>
          <w:spacing w:val="-1"/>
          <w:sz w:val="17"/>
          <w:szCs w:val="17"/>
        </w:rPr>
        <w:t>, en el mes de diciembre de 2021</w:t>
      </w:r>
      <w:r w:rsidR="004B3660" w:rsidRPr="00E341D8">
        <w:rPr>
          <w:rFonts w:ascii="Arial" w:eastAsia="Calibri" w:hAnsi="Arial" w:cs="Arial"/>
          <w:spacing w:val="-1"/>
          <w:sz w:val="17"/>
          <w:szCs w:val="17"/>
        </w:rPr>
        <w:t xml:space="preserve"> le turno a la Secretaria de Gobierno para iniciar las acciones legales correspondientes.</w:t>
      </w:r>
    </w:p>
    <w:p w:rsidR="00A43C7C" w:rsidRDefault="00A43C7C" w:rsidP="00E341D8">
      <w:pPr>
        <w:spacing w:before="80" w:line="250" w:lineRule="exact"/>
        <w:ind w:left="851"/>
        <w:jc w:val="both"/>
        <w:rPr>
          <w:rFonts w:ascii="Arial" w:eastAsia="Calibri" w:hAnsi="Arial" w:cs="Arial"/>
          <w:spacing w:val="-1"/>
          <w:sz w:val="17"/>
          <w:szCs w:val="17"/>
        </w:rPr>
      </w:pPr>
      <w:r w:rsidRPr="00E341D8">
        <w:rPr>
          <w:rFonts w:ascii="Arial" w:eastAsia="Calibri" w:hAnsi="Arial" w:cs="Arial"/>
          <w:spacing w:val="-1"/>
          <w:sz w:val="17"/>
          <w:szCs w:val="17"/>
        </w:rPr>
        <w:t>La variación en el rubro de Participaciones y Aportaciones de Capital de las Entidades Paraestatales del Poder Ejecutivo del Estado de Querétaro, que corresponde al incremento o decremento del ejercicio fiscal 2021.</w:t>
      </w:r>
    </w:p>
    <w:p w:rsidR="00A43C7C" w:rsidRDefault="00A43C7C" w:rsidP="00856FD9">
      <w:pPr>
        <w:spacing w:before="80" w:line="250" w:lineRule="exact"/>
        <w:ind w:left="567"/>
        <w:jc w:val="both"/>
        <w:rPr>
          <w:rFonts w:ascii="Arial" w:eastAsia="Calibri" w:hAnsi="Arial" w:cs="Arial"/>
          <w:spacing w:val="-1"/>
          <w:sz w:val="17"/>
          <w:szCs w:val="17"/>
        </w:rPr>
      </w:pPr>
    </w:p>
    <w:p w:rsidR="00C14511" w:rsidRDefault="00B1507D" w:rsidP="002948F8">
      <w:pPr>
        <w:spacing w:before="80" w:line="240" w:lineRule="exact"/>
        <w:ind w:left="567"/>
        <w:jc w:val="both"/>
        <w:rPr>
          <w:rFonts w:ascii="Calibri" w:eastAsia="Calibri" w:hAnsi="Calibri"/>
          <w:sz w:val="20"/>
          <w:szCs w:val="20"/>
        </w:rPr>
      </w:pPr>
      <w:r w:rsidRPr="00B1507D">
        <w:rPr>
          <w:rFonts w:eastAsia="Calibri"/>
          <w:noProof/>
        </w:rPr>
        <w:drawing>
          <wp:anchor distT="0" distB="0" distL="114300" distR="114300" simplePos="0" relativeHeight="251668480" behindDoc="1" locked="0" layoutInCell="1" allowOverlap="1">
            <wp:simplePos x="0" y="0"/>
            <wp:positionH relativeFrom="page">
              <wp:align>center</wp:align>
            </wp:positionH>
            <wp:positionV relativeFrom="paragraph">
              <wp:posOffset>54854</wp:posOffset>
            </wp:positionV>
            <wp:extent cx="5321300" cy="3326765"/>
            <wp:effectExtent l="0" t="0" r="0" b="6985"/>
            <wp:wrapTight wrapText="bothSides">
              <wp:wrapPolygon edited="0">
                <wp:start x="0" y="0"/>
                <wp:lineTo x="0" y="21522"/>
                <wp:lineTo x="21497" y="21522"/>
                <wp:lineTo x="2149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1300" cy="332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B33">
        <w:rPr>
          <w:rFonts w:eastAsia="Calibri"/>
        </w:rPr>
        <w:fldChar w:fldCharType="begin"/>
      </w:r>
      <w:r w:rsidR="00F47B33">
        <w:rPr>
          <w:rFonts w:eastAsia="Calibri"/>
        </w:rPr>
        <w:instrText xml:space="preserve"> LINK </w:instrText>
      </w:r>
      <w:r w:rsidR="004343CB">
        <w:rPr>
          <w:rFonts w:eastAsia="Calibri"/>
        </w:rPr>
        <w:instrText xml:space="preserve">Excel.Sheet.12 "C:\\Users\\aoviedot\\Desktop\\Dirección Contabilidad 2021 - 2028\\Estados Financieros\\2021\\Diciembre\\BALANZA DEFINITIVA DICIEMBRE DE 2021.xlsx" Hoja1!F2C15:F44C17 </w:instrText>
      </w:r>
      <w:r w:rsidR="00F47B33">
        <w:rPr>
          <w:rFonts w:eastAsia="Calibri"/>
        </w:rPr>
        <w:instrText xml:space="preserve">\a \f 4 \h </w:instrText>
      </w:r>
      <w:r w:rsidR="00EC1AF8">
        <w:rPr>
          <w:rFonts w:eastAsia="Calibri"/>
        </w:rPr>
        <w:instrText xml:space="preserve"> \* MERGEFORMAT </w:instrText>
      </w:r>
      <w:r w:rsidR="00F47B33">
        <w:rPr>
          <w:rFonts w:eastAsia="Calibri"/>
        </w:rPr>
        <w:fldChar w:fldCharType="separate"/>
      </w:r>
    </w:p>
    <w:p w:rsidR="00F71E5C" w:rsidRDefault="00F47B33" w:rsidP="002948F8">
      <w:pPr>
        <w:spacing w:before="80" w:line="240" w:lineRule="exact"/>
        <w:ind w:left="567"/>
        <w:jc w:val="both"/>
        <w:rPr>
          <w:rFonts w:ascii="Arial" w:eastAsia="Calibri" w:hAnsi="Arial" w:cs="Arial"/>
          <w:spacing w:val="-1"/>
          <w:sz w:val="17"/>
          <w:szCs w:val="17"/>
        </w:rPr>
      </w:pPr>
      <w:r>
        <w:rPr>
          <w:rFonts w:ascii="Arial" w:eastAsia="Calibri" w:hAnsi="Arial" w:cs="Arial"/>
          <w:spacing w:val="-1"/>
          <w:sz w:val="17"/>
          <w:szCs w:val="17"/>
        </w:rPr>
        <w:fldChar w:fldCharType="end"/>
      </w: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B1507D" w:rsidP="002948F8">
      <w:pPr>
        <w:spacing w:before="80" w:line="240" w:lineRule="exact"/>
        <w:ind w:left="567"/>
        <w:jc w:val="both"/>
        <w:rPr>
          <w:rFonts w:ascii="Arial" w:eastAsia="Calibri" w:hAnsi="Arial" w:cs="Arial"/>
          <w:spacing w:val="-1"/>
          <w:sz w:val="17"/>
          <w:szCs w:val="17"/>
        </w:rPr>
      </w:pPr>
      <w:r w:rsidRPr="00B1507D">
        <w:rPr>
          <w:rFonts w:eastAsia="Calibri"/>
          <w:noProof/>
        </w:rPr>
        <w:lastRenderedPageBreak/>
        <w:drawing>
          <wp:anchor distT="0" distB="0" distL="114300" distR="114300" simplePos="0" relativeHeight="251669504" behindDoc="1" locked="0" layoutInCell="1" allowOverlap="1">
            <wp:simplePos x="0" y="0"/>
            <wp:positionH relativeFrom="column">
              <wp:posOffset>1458635</wp:posOffset>
            </wp:positionH>
            <wp:positionV relativeFrom="paragraph">
              <wp:posOffset>51881</wp:posOffset>
            </wp:positionV>
            <wp:extent cx="5321300" cy="4406900"/>
            <wp:effectExtent l="0" t="0" r="0" b="0"/>
            <wp:wrapTight wrapText="bothSides">
              <wp:wrapPolygon edited="0">
                <wp:start x="0" y="0"/>
                <wp:lineTo x="0" y="21476"/>
                <wp:lineTo x="21497" y="21476"/>
                <wp:lineTo x="2149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0" cy="440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D01389" w:rsidRPr="00BA272D" w:rsidRDefault="00B1507D" w:rsidP="002948F8">
      <w:pPr>
        <w:spacing w:before="80" w:line="240" w:lineRule="exact"/>
        <w:ind w:left="567"/>
        <w:jc w:val="both"/>
        <w:rPr>
          <w:rFonts w:ascii="Arial" w:eastAsia="Calibri" w:hAnsi="Arial" w:cs="Arial"/>
          <w:spacing w:val="-1"/>
          <w:sz w:val="17"/>
          <w:szCs w:val="17"/>
        </w:rPr>
      </w:pPr>
      <w:r w:rsidRPr="00B1507D">
        <w:rPr>
          <w:rFonts w:eastAsia="Calibri"/>
          <w:noProof/>
        </w:rPr>
        <w:lastRenderedPageBreak/>
        <w:drawing>
          <wp:anchor distT="0" distB="0" distL="114300" distR="114300" simplePos="0" relativeHeight="251670528" behindDoc="1" locked="0" layoutInCell="1" allowOverlap="1">
            <wp:simplePos x="0" y="0"/>
            <wp:positionH relativeFrom="margin">
              <wp:align>center</wp:align>
            </wp:positionH>
            <wp:positionV relativeFrom="paragraph">
              <wp:posOffset>9728</wp:posOffset>
            </wp:positionV>
            <wp:extent cx="5321300" cy="3968750"/>
            <wp:effectExtent l="0" t="0" r="0" b="0"/>
            <wp:wrapTight wrapText="bothSides">
              <wp:wrapPolygon edited="0">
                <wp:start x="0" y="0"/>
                <wp:lineTo x="0" y="21462"/>
                <wp:lineTo x="21497" y="21462"/>
                <wp:lineTo x="2149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1300" cy="396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B57" w:rsidRPr="00BA272D" w:rsidRDefault="00255B57" w:rsidP="002948F8">
      <w:pPr>
        <w:spacing w:before="80" w:line="240" w:lineRule="exact"/>
        <w:ind w:left="567"/>
        <w:jc w:val="both"/>
        <w:rPr>
          <w:rFonts w:ascii="Arial" w:eastAsia="Calibri" w:hAnsi="Arial" w:cs="Arial"/>
          <w:spacing w:val="-1"/>
          <w:sz w:val="17"/>
          <w:szCs w:val="17"/>
        </w:rPr>
      </w:pPr>
    </w:p>
    <w:p w:rsidR="00D01389" w:rsidRDefault="00D01389"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E341D8" w:rsidRDefault="00E341D8" w:rsidP="002948F8">
      <w:pPr>
        <w:spacing w:before="80" w:line="240" w:lineRule="exact"/>
        <w:ind w:left="567"/>
        <w:jc w:val="both"/>
        <w:rPr>
          <w:rFonts w:ascii="Arial" w:eastAsia="Calibri" w:hAnsi="Arial" w:cs="Arial"/>
          <w:spacing w:val="-1"/>
          <w:sz w:val="17"/>
          <w:szCs w:val="17"/>
        </w:rPr>
      </w:pPr>
    </w:p>
    <w:p w:rsidR="00856FD9" w:rsidRDefault="00856FD9" w:rsidP="00E341D8">
      <w:pPr>
        <w:spacing w:before="80" w:line="240" w:lineRule="exact"/>
        <w:ind w:left="851"/>
        <w:jc w:val="both"/>
        <w:rPr>
          <w:rFonts w:ascii="Arial" w:eastAsia="Calibri" w:hAnsi="Arial" w:cs="Arial"/>
          <w:spacing w:val="-1"/>
          <w:sz w:val="17"/>
          <w:szCs w:val="17"/>
        </w:rPr>
      </w:pPr>
    </w:p>
    <w:p w:rsidR="00B1507D" w:rsidRDefault="00B1507D" w:rsidP="00B1507D">
      <w:pPr>
        <w:pStyle w:val="Prrafodelista"/>
        <w:spacing w:before="80" w:line="240" w:lineRule="exact"/>
        <w:ind w:left="851"/>
        <w:jc w:val="both"/>
        <w:rPr>
          <w:rFonts w:ascii="Arial" w:eastAsia="Calibri" w:hAnsi="Arial" w:cs="Arial"/>
          <w:b/>
          <w:spacing w:val="-1"/>
          <w:sz w:val="17"/>
          <w:szCs w:val="17"/>
        </w:rPr>
      </w:pPr>
    </w:p>
    <w:p w:rsidR="00B1507D" w:rsidRDefault="00B1507D" w:rsidP="00B1507D">
      <w:pPr>
        <w:pStyle w:val="Prrafodelista"/>
        <w:spacing w:before="80" w:line="240" w:lineRule="exact"/>
        <w:ind w:left="851"/>
        <w:jc w:val="both"/>
        <w:rPr>
          <w:rFonts w:ascii="Arial" w:eastAsia="Calibri" w:hAnsi="Arial" w:cs="Arial"/>
          <w:b/>
          <w:spacing w:val="-1"/>
          <w:sz w:val="17"/>
          <w:szCs w:val="17"/>
        </w:rPr>
      </w:pPr>
    </w:p>
    <w:p w:rsidR="00B1507D" w:rsidRDefault="00B1507D" w:rsidP="00B1507D">
      <w:pPr>
        <w:pStyle w:val="Prrafodelista"/>
        <w:spacing w:before="80" w:line="240" w:lineRule="exact"/>
        <w:ind w:left="851"/>
        <w:jc w:val="both"/>
        <w:rPr>
          <w:rFonts w:ascii="Arial" w:eastAsia="Calibri" w:hAnsi="Arial" w:cs="Arial"/>
          <w:b/>
          <w:spacing w:val="-1"/>
          <w:sz w:val="17"/>
          <w:szCs w:val="17"/>
        </w:rPr>
      </w:pPr>
    </w:p>
    <w:p w:rsidR="00B1507D" w:rsidRDefault="00B1507D" w:rsidP="00B1507D">
      <w:pPr>
        <w:pStyle w:val="Prrafodelista"/>
        <w:spacing w:before="80" w:line="240" w:lineRule="exact"/>
        <w:ind w:left="851"/>
        <w:jc w:val="both"/>
        <w:rPr>
          <w:rFonts w:ascii="Arial" w:eastAsia="Calibri" w:hAnsi="Arial" w:cs="Arial"/>
          <w:b/>
          <w:spacing w:val="-1"/>
          <w:sz w:val="17"/>
          <w:szCs w:val="17"/>
        </w:rPr>
      </w:pPr>
    </w:p>
    <w:p w:rsidR="00B1507D" w:rsidRDefault="00B1507D" w:rsidP="00B1507D">
      <w:pPr>
        <w:pStyle w:val="Prrafodelista"/>
        <w:spacing w:before="80" w:line="240" w:lineRule="exact"/>
        <w:ind w:left="851"/>
        <w:jc w:val="both"/>
        <w:rPr>
          <w:rFonts w:ascii="Arial" w:eastAsia="Calibri" w:hAnsi="Arial" w:cs="Arial"/>
          <w:b/>
          <w:spacing w:val="-1"/>
          <w:sz w:val="17"/>
          <w:szCs w:val="17"/>
        </w:rPr>
      </w:pPr>
    </w:p>
    <w:p w:rsidR="00B1507D" w:rsidRDefault="00B1507D"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99467F" w:rsidRDefault="0099467F" w:rsidP="00B1507D">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E341D8">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Fideicomisos, Mandatos y Análogos</w:t>
      </w:r>
    </w:p>
    <w:p w:rsidR="00F71E5C" w:rsidRDefault="00F71E5C" w:rsidP="00E341D8">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lo referente a los Fideicomisos, Mandatos y Análogos de los cuales es fideicomitente o fideicomisario, en conformidad con el “</w:t>
      </w:r>
      <w:r w:rsidRPr="00BA272D">
        <w:rPr>
          <w:rFonts w:ascii="Arial" w:eastAsia="Calibri" w:hAnsi="Arial" w:cs="Arial"/>
          <w:b/>
          <w:spacing w:val="-1"/>
          <w:sz w:val="17"/>
          <w:szCs w:val="17"/>
        </w:rPr>
        <w:t>Lineamientos que deberán observar los entes públicos para registrar en las cuentas de activo los fideicomisos sin estructura orgánica y contratos análogos, incluyendo mandatos</w:t>
      </w:r>
      <w:r w:rsidRPr="00BA272D">
        <w:rPr>
          <w:rFonts w:ascii="Arial" w:eastAsia="Calibri" w:hAnsi="Arial" w:cs="Arial"/>
          <w:spacing w:val="-1"/>
          <w:sz w:val="17"/>
          <w:szCs w:val="17"/>
        </w:rPr>
        <w:t>”, se regi</w:t>
      </w:r>
      <w:r w:rsidR="00E341D8">
        <w:rPr>
          <w:rFonts w:ascii="Arial" w:eastAsia="Calibri" w:hAnsi="Arial" w:cs="Arial"/>
          <w:spacing w:val="-1"/>
          <w:sz w:val="17"/>
          <w:szCs w:val="17"/>
        </w:rPr>
        <w:t>straron de la siguiente manera:</w:t>
      </w:r>
    </w:p>
    <w:p w:rsidR="00B1507D" w:rsidRDefault="00B1507D" w:rsidP="00E341D8">
      <w:pPr>
        <w:spacing w:before="80" w:line="240" w:lineRule="exact"/>
        <w:ind w:left="851"/>
        <w:jc w:val="both"/>
        <w:rPr>
          <w:rFonts w:ascii="Arial" w:eastAsia="Calibri" w:hAnsi="Arial" w:cs="Arial"/>
          <w:spacing w:val="-1"/>
          <w:sz w:val="17"/>
          <w:szCs w:val="17"/>
        </w:rPr>
      </w:pPr>
    </w:p>
    <w:p w:rsidR="00B1507D" w:rsidRDefault="00B1507D" w:rsidP="00E341D8">
      <w:pPr>
        <w:spacing w:before="80" w:line="240" w:lineRule="exact"/>
        <w:ind w:left="851"/>
        <w:jc w:val="both"/>
        <w:rPr>
          <w:rFonts w:ascii="Arial" w:eastAsia="Calibri" w:hAnsi="Arial" w:cs="Arial"/>
          <w:spacing w:val="-1"/>
          <w:sz w:val="17"/>
          <w:szCs w:val="17"/>
        </w:rPr>
      </w:pPr>
    </w:p>
    <w:p w:rsidR="00B1507D" w:rsidRDefault="0099467F" w:rsidP="00E341D8">
      <w:pPr>
        <w:spacing w:before="80" w:line="240" w:lineRule="exact"/>
        <w:ind w:left="851"/>
        <w:jc w:val="both"/>
        <w:rPr>
          <w:rFonts w:ascii="Arial" w:eastAsia="Calibri" w:hAnsi="Arial" w:cs="Arial"/>
          <w:spacing w:val="-1"/>
          <w:sz w:val="17"/>
          <w:szCs w:val="17"/>
        </w:rPr>
      </w:pPr>
      <w:r w:rsidRPr="00B033C4">
        <w:rPr>
          <w:rFonts w:eastAsia="Calibri"/>
          <w:noProof/>
        </w:rPr>
        <w:drawing>
          <wp:anchor distT="0" distB="0" distL="114300" distR="114300" simplePos="0" relativeHeight="251671552" behindDoc="1" locked="0" layoutInCell="1" allowOverlap="1" wp14:anchorId="323269B2" wp14:editId="530D977F">
            <wp:simplePos x="0" y="0"/>
            <wp:positionH relativeFrom="margin">
              <wp:posOffset>1955116</wp:posOffset>
            </wp:positionH>
            <wp:positionV relativeFrom="paragraph">
              <wp:posOffset>59593</wp:posOffset>
            </wp:positionV>
            <wp:extent cx="4056380" cy="2966720"/>
            <wp:effectExtent l="0" t="0" r="1270" b="5080"/>
            <wp:wrapTight wrapText="bothSides">
              <wp:wrapPolygon edited="0">
                <wp:start x="0" y="0"/>
                <wp:lineTo x="0" y="21498"/>
                <wp:lineTo x="21505" y="21498"/>
                <wp:lineTo x="21505"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6380" cy="296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1D8" w:rsidRPr="00BA272D" w:rsidRDefault="00E341D8" w:rsidP="00E341D8">
      <w:pPr>
        <w:spacing w:before="80" w:line="240" w:lineRule="exact"/>
        <w:ind w:left="567"/>
        <w:jc w:val="both"/>
        <w:rPr>
          <w:rFonts w:ascii="Arial" w:eastAsia="Calibri" w:hAnsi="Arial" w:cs="Arial"/>
          <w:spacing w:val="-1"/>
          <w:sz w:val="17"/>
          <w:szCs w:val="17"/>
        </w:rPr>
      </w:pPr>
    </w:p>
    <w:p w:rsidR="00F71E5C" w:rsidRPr="00BA272D" w:rsidRDefault="00F71E5C" w:rsidP="002948F8">
      <w:pPr>
        <w:spacing w:before="80" w:line="240" w:lineRule="exact"/>
        <w:ind w:left="567"/>
        <w:jc w:val="both"/>
        <w:rPr>
          <w:rFonts w:ascii="Arial" w:eastAsia="Calibri" w:hAnsi="Arial" w:cs="Arial"/>
          <w:spacing w:val="-1"/>
          <w:sz w:val="17"/>
          <w:szCs w:val="17"/>
        </w:rPr>
      </w:pPr>
    </w:p>
    <w:p w:rsidR="00F71E5C" w:rsidRPr="00BA272D" w:rsidRDefault="00F71E5C" w:rsidP="002948F8">
      <w:pPr>
        <w:spacing w:before="80" w:line="240" w:lineRule="exact"/>
        <w:ind w:left="567"/>
        <w:jc w:val="both"/>
        <w:rPr>
          <w:rFonts w:ascii="Arial" w:eastAsia="Calibri" w:hAnsi="Arial" w:cs="Arial"/>
          <w:spacing w:val="-1"/>
          <w:sz w:val="17"/>
          <w:szCs w:val="17"/>
        </w:rPr>
      </w:pPr>
    </w:p>
    <w:p w:rsidR="00C8680A" w:rsidRPr="00BA272D" w:rsidRDefault="00C8680A" w:rsidP="002948F8">
      <w:pPr>
        <w:spacing w:before="80" w:line="240" w:lineRule="exact"/>
        <w:ind w:left="567"/>
        <w:jc w:val="both"/>
        <w:rPr>
          <w:rFonts w:ascii="Arial" w:eastAsia="Calibri" w:hAnsi="Arial" w:cs="Arial"/>
          <w:spacing w:val="-1"/>
          <w:sz w:val="17"/>
          <w:szCs w:val="17"/>
        </w:rPr>
      </w:pPr>
    </w:p>
    <w:p w:rsidR="00F71E5C" w:rsidRPr="00BA272D" w:rsidRDefault="00F71E5C" w:rsidP="002948F8">
      <w:pPr>
        <w:spacing w:before="80" w:line="240" w:lineRule="exact"/>
        <w:ind w:left="567"/>
        <w:jc w:val="both"/>
        <w:rPr>
          <w:rFonts w:ascii="Arial" w:eastAsia="Calibri" w:hAnsi="Arial" w:cs="Arial"/>
          <w:spacing w:val="-1"/>
          <w:sz w:val="17"/>
          <w:szCs w:val="17"/>
        </w:rPr>
      </w:pPr>
    </w:p>
    <w:p w:rsidR="00F71E5C" w:rsidRPr="00BA272D" w:rsidRDefault="00F71E5C" w:rsidP="002948F8">
      <w:pPr>
        <w:spacing w:before="80" w:line="240" w:lineRule="exact"/>
        <w:ind w:left="567"/>
        <w:jc w:val="both"/>
        <w:rPr>
          <w:rFonts w:ascii="Arial" w:eastAsia="Calibri" w:hAnsi="Arial" w:cs="Arial"/>
          <w:spacing w:val="-1"/>
          <w:sz w:val="17"/>
          <w:szCs w:val="17"/>
        </w:rPr>
      </w:pPr>
    </w:p>
    <w:p w:rsidR="00F71E5C" w:rsidRPr="00BA272D" w:rsidRDefault="00F71E5C" w:rsidP="002948F8">
      <w:pPr>
        <w:spacing w:before="80" w:line="240" w:lineRule="exact"/>
        <w:ind w:left="567"/>
        <w:jc w:val="both"/>
        <w:rPr>
          <w:rFonts w:ascii="Arial" w:eastAsia="Calibri" w:hAnsi="Arial" w:cs="Arial"/>
          <w:spacing w:val="-1"/>
          <w:sz w:val="17"/>
          <w:szCs w:val="17"/>
        </w:rPr>
      </w:pPr>
    </w:p>
    <w:p w:rsidR="00F71E5C" w:rsidRPr="00BA272D" w:rsidRDefault="00F71E5C" w:rsidP="002948F8">
      <w:pPr>
        <w:spacing w:before="80" w:line="240" w:lineRule="exact"/>
        <w:ind w:left="567"/>
        <w:jc w:val="both"/>
        <w:rPr>
          <w:rFonts w:ascii="Arial" w:eastAsia="Calibri" w:hAnsi="Arial" w:cs="Arial"/>
          <w:spacing w:val="-1"/>
          <w:sz w:val="17"/>
          <w:szCs w:val="17"/>
        </w:rPr>
      </w:pPr>
    </w:p>
    <w:p w:rsidR="00F71E5C" w:rsidRPr="00BA272D" w:rsidRDefault="00F71E5C" w:rsidP="00B033C4">
      <w:pPr>
        <w:spacing w:before="80" w:line="240" w:lineRule="exact"/>
        <w:ind w:left="567"/>
        <w:jc w:val="both"/>
        <w:rPr>
          <w:rFonts w:ascii="Arial" w:eastAsia="Calibri" w:hAnsi="Arial" w:cs="Arial"/>
          <w:b/>
          <w:spacing w:val="-1"/>
          <w:sz w:val="17"/>
          <w:szCs w:val="17"/>
        </w:rPr>
      </w:pPr>
      <w:r w:rsidRPr="00BA272D">
        <w:rPr>
          <w:rFonts w:ascii="Arial" w:eastAsia="Calibri" w:hAnsi="Arial" w:cs="Arial"/>
          <w:spacing w:val="-1"/>
          <w:sz w:val="17"/>
          <w:szCs w:val="17"/>
        </w:rPr>
        <w:br w:type="textWrapping" w:clear="all"/>
      </w:r>
      <w:r w:rsidRPr="00BA272D">
        <w:rPr>
          <w:rFonts w:ascii="Arial" w:eastAsia="Calibri" w:hAnsi="Arial" w:cs="Arial"/>
          <w:b/>
          <w:spacing w:val="-1"/>
          <w:sz w:val="17"/>
          <w:szCs w:val="17"/>
        </w:rPr>
        <w:t>Reporte de la Recaudación</w:t>
      </w:r>
    </w:p>
    <w:p w:rsidR="00AD286F" w:rsidRPr="00BA272D" w:rsidRDefault="00AD286F" w:rsidP="00E341D8">
      <w:pPr>
        <w:spacing w:before="80" w:line="240" w:lineRule="exact"/>
        <w:ind w:left="567"/>
        <w:jc w:val="both"/>
        <w:rPr>
          <w:rFonts w:ascii="Arial" w:eastAsia="Calibri" w:hAnsi="Arial" w:cs="Arial"/>
          <w:spacing w:val="-1"/>
          <w:sz w:val="17"/>
          <w:szCs w:val="17"/>
        </w:rPr>
      </w:pPr>
    </w:p>
    <w:p w:rsidR="00F71E5C" w:rsidRPr="00BA272D" w:rsidRDefault="00281FBB" w:rsidP="00E341D8">
      <w:pPr>
        <w:spacing w:before="80" w:line="240" w:lineRule="exact"/>
        <w:ind w:left="567"/>
        <w:jc w:val="both"/>
        <w:rPr>
          <w:rFonts w:ascii="Arial" w:eastAsia="Calibri" w:hAnsi="Arial" w:cs="Arial"/>
          <w:spacing w:val="-1"/>
          <w:sz w:val="17"/>
          <w:szCs w:val="17"/>
        </w:rPr>
      </w:pPr>
      <w:r w:rsidRPr="00BA272D">
        <w:rPr>
          <w:rFonts w:ascii="Arial" w:eastAsia="Calibri" w:hAnsi="Arial" w:cs="Arial"/>
          <w:spacing w:val="-1"/>
          <w:sz w:val="17"/>
          <w:szCs w:val="17"/>
        </w:rPr>
        <w:t>El 47</w:t>
      </w:r>
      <w:r w:rsidR="00F71E5C" w:rsidRPr="00BA272D">
        <w:rPr>
          <w:rFonts w:ascii="Arial" w:eastAsia="Calibri" w:hAnsi="Arial" w:cs="Arial"/>
          <w:spacing w:val="-1"/>
          <w:sz w:val="17"/>
          <w:szCs w:val="17"/>
        </w:rPr>
        <w:t>% de los ingresos de gestión está representado por el Impuesto sobre Nómina y Asimilables, seguido de los Derechos por P</w:t>
      </w:r>
      <w:r w:rsidR="00CA0F7B" w:rsidRPr="00BA272D">
        <w:rPr>
          <w:rFonts w:ascii="Arial" w:eastAsia="Calibri" w:hAnsi="Arial" w:cs="Arial"/>
          <w:spacing w:val="-1"/>
          <w:sz w:val="17"/>
          <w:szCs w:val="17"/>
        </w:rPr>
        <w:t>restación de Servicios con un 30</w:t>
      </w:r>
      <w:r w:rsidR="00F71E5C" w:rsidRPr="00BA272D">
        <w:rPr>
          <w:rFonts w:ascii="Arial" w:eastAsia="Calibri" w:hAnsi="Arial" w:cs="Arial"/>
          <w:spacing w:val="-1"/>
          <w:sz w:val="17"/>
          <w:szCs w:val="17"/>
        </w:rPr>
        <w:t>%.</w:t>
      </w:r>
    </w:p>
    <w:p w:rsidR="00F71E5C" w:rsidRPr="00BA272D" w:rsidRDefault="00F71E5C" w:rsidP="00E341D8">
      <w:pPr>
        <w:spacing w:before="80" w:line="240" w:lineRule="exact"/>
        <w:ind w:left="567"/>
        <w:jc w:val="both"/>
        <w:rPr>
          <w:rFonts w:ascii="Arial" w:eastAsia="Calibri" w:hAnsi="Arial" w:cs="Arial"/>
          <w:spacing w:val="-1"/>
          <w:sz w:val="17"/>
          <w:szCs w:val="17"/>
        </w:rPr>
      </w:pPr>
      <w:r w:rsidRPr="00BA272D">
        <w:rPr>
          <w:rFonts w:ascii="Arial" w:eastAsia="Calibri" w:hAnsi="Arial" w:cs="Arial"/>
          <w:spacing w:val="-1"/>
          <w:sz w:val="17"/>
          <w:szCs w:val="17"/>
        </w:rPr>
        <w:t>Los i</w:t>
      </w:r>
      <w:r w:rsidR="00AD286F" w:rsidRPr="00BA272D">
        <w:rPr>
          <w:rFonts w:ascii="Arial" w:eastAsia="Calibri" w:hAnsi="Arial" w:cs="Arial"/>
          <w:spacing w:val="-1"/>
          <w:sz w:val="17"/>
          <w:szCs w:val="17"/>
        </w:rPr>
        <w:t>ngresos aprobados que se esperaban</w:t>
      </w:r>
      <w:r w:rsidRPr="00BA272D">
        <w:rPr>
          <w:rFonts w:ascii="Arial" w:eastAsia="Calibri" w:hAnsi="Arial" w:cs="Arial"/>
          <w:spacing w:val="-1"/>
          <w:sz w:val="17"/>
          <w:szCs w:val="17"/>
        </w:rPr>
        <w:t xml:space="preserve"> recibir en el ejercicio 2021, se detallan de manera puntual en la Ley de Ingresos del Estado de Querétaro para el ejercicio 2021.</w:t>
      </w:r>
    </w:p>
    <w:p w:rsidR="00FE24F9" w:rsidRDefault="00FE24F9" w:rsidP="002948F8">
      <w:pPr>
        <w:spacing w:before="80" w:line="240" w:lineRule="exact"/>
        <w:ind w:left="567"/>
        <w:jc w:val="both"/>
        <w:rPr>
          <w:rFonts w:ascii="Arial" w:eastAsia="Calibri" w:hAnsi="Arial" w:cs="Arial"/>
          <w:spacing w:val="-1"/>
          <w:sz w:val="17"/>
          <w:szCs w:val="17"/>
        </w:rPr>
      </w:pPr>
    </w:p>
    <w:p w:rsidR="0099467F" w:rsidRDefault="0099467F" w:rsidP="002948F8">
      <w:pPr>
        <w:spacing w:before="80" w:line="240" w:lineRule="exact"/>
        <w:ind w:left="567"/>
        <w:jc w:val="both"/>
        <w:rPr>
          <w:rFonts w:ascii="Arial" w:eastAsia="Calibri" w:hAnsi="Arial" w:cs="Arial"/>
          <w:spacing w:val="-1"/>
          <w:sz w:val="17"/>
          <w:szCs w:val="17"/>
        </w:rPr>
      </w:pPr>
    </w:p>
    <w:p w:rsidR="0099467F" w:rsidRDefault="0099467F" w:rsidP="002948F8">
      <w:pPr>
        <w:spacing w:before="80" w:line="240" w:lineRule="exact"/>
        <w:ind w:left="567"/>
        <w:jc w:val="both"/>
        <w:rPr>
          <w:rFonts w:ascii="Arial" w:eastAsia="Calibri" w:hAnsi="Arial" w:cs="Arial"/>
          <w:spacing w:val="-1"/>
          <w:sz w:val="17"/>
          <w:szCs w:val="17"/>
        </w:rPr>
      </w:pPr>
    </w:p>
    <w:p w:rsidR="0099467F" w:rsidRPr="00BA272D" w:rsidRDefault="0099467F" w:rsidP="002948F8">
      <w:pPr>
        <w:spacing w:before="80" w:line="240" w:lineRule="exact"/>
        <w:ind w:left="567"/>
        <w:jc w:val="both"/>
        <w:rPr>
          <w:rFonts w:ascii="Arial" w:eastAsia="Calibri" w:hAnsi="Arial" w:cs="Arial"/>
          <w:spacing w:val="-1"/>
          <w:sz w:val="17"/>
          <w:szCs w:val="17"/>
        </w:rPr>
      </w:pPr>
    </w:p>
    <w:p w:rsidR="00FE24F9" w:rsidRPr="00BA272D" w:rsidRDefault="00FE24F9" w:rsidP="002948F8">
      <w:pPr>
        <w:pStyle w:val="Prrafodelista"/>
        <w:numPr>
          <w:ilvl w:val="0"/>
          <w:numId w:val="11"/>
        </w:numPr>
        <w:spacing w:before="80" w:line="240" w:lineRule="exact"/>
        <w:ind w:left="567"/>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Información sobre la Deuda y el Reporte Analítico de la Deuda</w:t>
      </w:r>
    </w:p>
    <w:tbl>
      <w:tblPr>
        <w:tblpPr w:leftFromText="141" w:rightFromText="141" w:horzAnchor="margin" w:tblpY="1361"/>
        <w:tblW w:w="13283" w:type="dxa"/>
        <w:tblLayout w:type="fixed"/>
        <w:tblCellMar>
          <w:left w:w="70" w:type="dxa"/>
          <w:right w:w="70" w:type="dxa"/>
        </w:tblCellMar>
        <w:tblLook w:val="04A0" w:firstRow="1" w:lastRow="0" w:firstColumn="1" w:lastColumn="0" w:noHBand="0" w:noVBand="1"/>
      </w:tblPr>
      <w:tblGrid>
        <w:gridCol w:w="1423"/>
        <w:gridCol w:w="714"/>
        <w:gridCol w:w="835"/>
        <w:gridCol w:w="1139"/>
        <w:gridCol w:w="1701"/>
        <w:gridCol w:w="1418"/>
        <w:gridCol w:w="1984"/>
        <w:gridCol w:w="1696"/>
        <w:gridCol w:w="1276"/>
        <w:gridCol w:w="1097"/>
      </w:tblGrid>
      <w:tr w:rsidR="0007655A" w:rsidRPr="00FE24F9" w:rsidTr="00B033C4">
        <w:trPr>
          <w:trHeight w:val="216"/>
        </w:trPr>
        <w:tc>
          <w:tcPr>
            <w:tcW w:w="13283" w:type="dxa"/>
            <w:gridSpan w:val="10"/>
            <w:tcBorders>
              <w:top w:val="single" w:sz="4" w:space="0" w:color="auto"/>
              <w:left w:val="single" w:sz="4" w:space="0" w:color="auto"/>
              <w:bottom w:val="nil"/>
              <w:right w:val="single" w:sz="4" w:space="0" w:color="000000"/>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Gobierno del Estado de Querétaro</w:t>
            </w:r>
          </w:p>
        </w:tc>
      </w:tr>
      <w:tr w:rsidR="0007655A" w:rsidRPr="00FE24F9" w:rsidTr="00B033C4">
        <w:trPr>
          <w:trHeight w:val="216"/>
        </w:trPr>
        <w:tc>
          <w:tcPr>
            <w:tcW w:w="13283" w:type="dxa"/>
            <w:gridSpan w:val="10"/>
            <w:tcBorders>
              <w:top w:val="nil"/>
              <w:left w:val="single" w:sz="4" w:space="0" w:color="auto"/>
              <w:bottom w:val="nil"/>
              <w:right w:val="single" w:sz="4" w:space="0" w:color="000000"/>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Poder Ejecutivo</w:t>
            </w:r>
          </w:p>
        </w:tc>
      </w:tr>
      <w:tr w:rsidR="0007655A" w:rsidRPr="00FE24F9" w:rsidTr="00B033C4">
        <w:trPr>
          <w:trHeight w:val="216"/>
        </w:trPr>
        <w:tc>
          <w:tcPr>
            <w:tcW w:w="13283" w:type="dxa"/>
            <w:gridSpan w:val="10"/>
            <w:tcBorders>
              <w:top w:val="nil"/>
              <w:left w:val="single" w:sz="4" w:space="0" w:color="auto"/>
              <w:bottom w:val="nil"/>
              <w:right w:val="single" w:sz="4" w:space="0" w:color="000000"/>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Formato de información de obligaciones pagadas o garantizadas con fondos federales</w:t>
            </w:r>
          </w:p>
        </w:tc>
      </w:tr>
      <w:tr w:rsidR="0007655A" w:rsidRPr="00FE24F9" w:rsidTr="00B033C4">
        <w:trPr>
          <w:trHeight w:val="331"/>
        </w:trPr>
        <w:tc>
          <w:tcPr>
            <w:tcW w:w="13283" w:type="dxa"/>
            <w:gridSpan w:val="10"/>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Al período al 4to.  trimestre de 2021</w:t>
            </w:r>
          </w:p>
        </w:tc>
      </w:tr>
      <w:tr w:rsidR="0007655A" w:rsidRPr="00BA272D" w:rsidTr="00CB6C4E">
        <w:trPr>
          <w:trHeight w:val="216"/>
        </w:trPr>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Tipo de Obligación</w:t>
            </w:r>
          </w:p>
        </w:tc>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Plazo</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Tasa</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Fin, Destino y Objeto</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Acreedor, Proveedor o Contratista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Importe Total</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Fondo</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 xml:space="preserve">Importe Garantizado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Importe Pagado</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 xml:space="preserve">% respecto al total </w:t>
            </w:r>
          </w:p>
        </w:tc>
      </w:tr>
      <w:tr w:rsidR="0007655A" w:rsidRPr="00BA272D" w:rsidTr="00CB6C4E">
        <w:trPr>
          <w:trHeight w:val="458"/>
        </w:trPr>
        <w:tc>
          <w:tcPr>
            <w:tcW w:w="1423"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714"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835"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139"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701"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418"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984"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696"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276"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097" w:type="dxa"/>
            <w:vMerge/>
            <w:tcBorders>
              <w:top w:val="nil"/>
              <w:left w:val="single" w:sz="4" w:space="0" w:color="auto"/>
              <w:bottom w:val="single" w:sz="4" w:space="0" w:color="auto"/>
              <w:right w:val="single" w:sz="4" w:space="0" w:color="auto"/>
            </w:tcBorders>
            <w:vAlign w:val="center"/>
            <w:hideMark/>
          </w:tcPr>
          <w:p w:rsidR="0007655A" w:rsidRPr="00FE24F9" w:rsidRDefault="0007655A" w:rsidP="00B033C4">
            <w:pPr>
              <w:rPr>
                <w:rFonts w:ascii="Arial" w:hAnsi="Arial" w:cs="Arial"/>
                <w:color w:val="000000"/>
                <w:sz w:val="17"/>
                <w:szCs w:val="17"/>
              </w:rPr>
            </w:pPr>
          </w:p>
        </w:tc>
      </w:tr>
      <w:tr w:rsidR="0007655A" w:rsidRPr="00BA272D" w:rsidTr="00CB6C4E">
        <w:trPr>
          <w:trHeight w:val="216"/>
        </w:trPr>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SUSTITUCION DE CREDITO</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20 AÑOS</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TIIE +.45</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OBRA PUBLICA PRODUCTIVA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BBVA BANCOMER</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1,350,000,000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RAMO 28</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7F3EB9" w:rsidRDefault="00CB6C4E" w:rsidP="00B033C4">
            <w:pPr>
              <w:jc w:val="center"/>
              <w:rPr>
                <w:rFonts w:ascii="Arial" w:hAnsi="Arial" w:cs="Arial"/>
                <w:color w:val="000000"/>
                <w:sz w:val="17"/>
                <w:szCs w:val="17"/>
                <w:highlight w:val="red"/>
              </w:rPr>
            </w:pPr>
            <w:r>
              <w:rPr>
                <w:rFonts w:ascii="Arial" w:hAnsi="Arial" w:cs="Arial"/>
                <w:color w:val="000000"/>
                <w:sz w:val="17"/>
                <w:szCs w:val="17"/>
              </w:rPr>
              <w:t>128,500,124</w:t>
            </w:r>
            <w:r w:rsidR="0007655A" w:rsidRPr="00CB6C4E">
              <w:rPr>
                <w:rFonts w:ascii="Arial" w:hAnsi="Arial" w:cs="Arial"/>
                <w:color w:val="000000"/>
                <w:sz w:val="17"/>
                <w:szCs w:val="17"/>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rPr>
                <w:rFonts w:ascii="Arial" w:hAnsi="Arial" w:cs="Arial"/>
                <w:color w:val="000000"/>
                <w:sz w:val="17"/>
                <w:szCs w:val="17"/>
              </w:rPr>
            </w:pPr>
            <w:r>
              <w:rPr>
                <w:rFonts w:ascii="Arial" w:hAnsi="Arial" w:cs="Arial"/>
                <w:color w:val="000000"/>
                <w:sz w:val="17"/>
                <w:szCs w:val="17"/>
              </w:rPr>
              <w:t xml:space="preserve"> </w:t>
            </w:r>
            <w:r w:rsidRPr="00FE24F9">
              <w:rPr>
                <w:rFonts w:ascii="Arial" w:hAnsi="Arial" w:cs="Arial"/>
                <w:color w:val="000000"/>
                <w:sz w:val="17"/>
                <w:szCs w:val="17"/>
              </w:rPr>
              <w:t xml:space="preserve">128,500,124 </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9.52%</w:t>
            </w:r>
          </w:p>
        </w:tc>
      </w:tr>
      <w:tr w:rsidR="0007655A" w:rsidRPr="00BA272D" w:rsidTr="00CB6C4E">
        <w:trPr>
          <w:trHeight w:val="458"/>
        </w:trPr>
        <w:tc>
          <w:tcPr>
            <w:tcW w:w="1423"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714"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835"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139"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701"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418"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984"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696" w:type="dxa"/>
            <w:vMerge/>
            <w:tcBorders>
              <w:top w:val="nil"/>
              <w:left w:val="single" w:sz="4" w:space="0" w:color="auto"/>
              <w:bottom w:val="single" w:sz="4" w:space="0" w:color="000000"/>
              <w:right w:val="single" w:sz="4" w:space="0" w:color="auto"/>
            </w:tcBorders>
            <w:vAlign w:val="center"/>
            <w:hideMark/>
          </w:tcPr>
          <w:p w:rsidR="0007655A" w:rsidRPr="007F3EB9" w:rsidRDefault="0007655A" w:rsidP="00B033C4">
            <w:pPr>
              <w:rPr>
                <w:rFonts w:ascii="Arial" w:hAnsi="Arial" w:cs="Arial"/>
                <w:color w:val="000000"/>
                <w:sz w:val="17"/>
                <w:szCs w:val="17"/>
                <w:highlight w:val="red"/>
              </w:rPr>
            </w:pPr>
          </w:p>
        </w:tc>
        <w:tc>
          <w:tcPr>
            <w:tcW w:w="1276"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097"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r>
      <w:tr w:rsidR="0007655A" w:rsidRPr="00BA272D" w:rsidTr="00CB6C4E">
        <w:trPr>
          <w:trHeight w:val="216"/>
        </w:trPr>
        <w:tc>
          <w:tcPr>
            <w:tcW w:w="1423"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SUSTITUCION DE CREDITO</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21 AÑOS</w:t>
            </w:r>
          </w:p>
        </w:tc>
        <w:tc>
          <w:tcPr>
            <w:tcW w:w="835"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TIIE +.46</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OBRA PUBLICA PRODUCTIVA</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BBVA BANCOMER</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1,350,000,000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RAMO 33</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7F3EB9" w:rsidRDefault="00CB6C4E" w:rsidP="00B033C4">
            <w:pPr>
              <w:jc w:val="center"/>
              <w:rPr>
                <w:rFonts w:ascii="Arial" w:hAnsi="Arial" w:cs="Arial"/>
                <w:color w:val="000000"/>
                <w:sz w:val="17"/>
                <w:szCs w:val="17"/>
                <w:highlight w:val="red"/>
              </w:rPr>
            </w:pPr>
            <w:r>
              <w:rPr>
                <w:rFonts w:ascii="Arial" w:hAnsi="Arial" w:cs="Arial"/>
                <w:color w:val="000000"/>
                <w:sz w:val="17"/>
                <w:szCs w:val="17"/>
              </w:rPr>
              <w:t xml:space="preserve">   </w:t>
            </w:r>
            <w:r w:rsidRPr="00FE24F9">
              <w:rPr>
                <w:rFonts w:ascii="Arial" w:hAnsi="Arial" w:cs="Arial"/>
                <w:color w:val="000000"/>
                <w:sz w:val="17"/>
                <w:szCs w:val="17"/>
              </w:rPr>
              <w:t xml:space="preserve">36,272,026 </w:t>
            </w:r>
            <w:r w:rsidR="0007655A" w:rsidRPr="00CB6C4E">
              <w:rPr>
                <w:rFonts w:ascii="Arial" w:hAnsi="Arial" w:cs="Arial"/>
                <w:color w:val="000000"/>
                <w:sz w:val="17"/>
                <w:szCs w:val="17"/>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 xml:space="preserve">  36,272,026 </w:t>
            </w:r>
          </w:p>
        </w:tc>
        <w:tc>
          <w:tcPr>
            <w:tcW w:w="1097" w:type="dxa"/>
            <w:vMerge w:val="restart"/>
            <w:tcBorders>
              <w:top w:val="nil"/>
              <w:left w:val="single" w:sz="4" w:space="0" w:color="auto"/>
              <w:bottom w:val="single" w:sz="4" w:space="0" w:color="000000"/>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2.69%</w:t>
            </w:r>
          </w:p>
        </w:tc>
      </w:tr>
      <w:tr w:rsidR="0007655A" w:rsidRPr="00BA272D" w:rsidTr="00CB6C4E">
        <w:trPr>
          <w:trHeight w:val="458"/>
        </w:trPr>
        <w:tc>
          <w:tcPr>
            <w:tcW w:w="1423"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714"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835"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139"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701"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418"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984"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696"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276"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c>
          <w:tcPr>
            <w:tcW w:w="1097" w:type="dxa"/>
            <w:vMerge/>
            <w:tcBorders>
              <w:top w:val="nil"/>
              <w:left w:val="single" w:sz="4" w:space="0" w:color="auto"/>
              <w:bottom w:val="single" w:sz="4" w:space="0" w:color="000000"/>
              <w:right w:val="single" w:sz="4" w:space="0" w:color="auto"/>
            </w:tcBorders>
            <w:vAlign w:val="center"/>
            <w:hideMark/>
          </w:tcPr>
          <w:p w:rsidR="0007655A" w:rsidRPr="00FE24F9" w:rsidRDefault="0007655A" w:rsidP="00B033C4">
            <w:pPr>
              <w:rPr>
                <w:rFonts w:ascii="Arial" w:hAnsi="Arial" w:cs="Arial"/>
                <w:color w:val="000000"/>
                <w:sz w:val="17"/>
                <w:szCs w:val="17"/>
              </w:rPr>
            </w:pPr>
          </w:p>
        </w:tc>
      </w:tr>
      <w:tr w:rsidR="00D439E7" w:rsidRPr="00BA272D" w:rsidTr="004751E0">
        <w:trPr>
          <w:trHeight w:val="216"/>
        </w:trPr>
        <w:tc>
          <w:tcPr>
            <w:tcW w:w="13283" w:type="dxa"/>
            <w:gridSpan w:val="10"/>
            <w:tcBorders>
              <w:top w:val="nil"/>
              <w:left w:val="nil"/>
              <w:bottom w:val="nil"/>
            </w:tcBorders>
            <w:shd w:val="clear" w:color="auto" w:fill="auto"/>
            <w:vAlign w:val="center"/>
            <w:hideMark/>
          </w:tcPr>
          <w:p w:rsidR="00D439E7" w:rsidRDefault="00D439E7" w:rsidP="00D439E7">
            <w:pPr>
              <w:ind w:left="918"/>
              <w:rPr>
                <w:rFonts w:ascii="Arial" w:hAnsi="Arial" w:cs="Arial"/>
                <w:sz w:val="17"/>
                <w:szCs w:val="17"/>
              </w:rPr>
            </w:pPr>
          </w:p>
          <w:p w:rsidR="00D439E7" w:rsidRDefault="00D439E7" w:rsidP="00D439E7">
            <w:pPr>
              <w:ind w:left="918"/>
              <w:rPr>
                <w:rFonts w:ascii="Arial" w:hAnsi="Arial" w:cs="Arial"/>
                <w:sz w:val="17"/>
                <w:szCs w:val="17"/>
              </w:rPr>
            </w:pPr>
          </w:p>
          <w:p w:rsidR="00D439E7" w:rsidRDefault="00D439E7" w:rsidP="00D439E7">
            <w:pPr>
              <w:ind w:left="918"/>
              <w:rPr>
                <w:rFonts w:ascii="Arial" w:hAnsi="Arial" w:cs="Arial"/>
                <w:sz w:val="17"/>
                <w:szCs w:val="17"/>
              </w:rPr>
            </w:pPr>
            <w:r>
              <w:rPr>
                <w:rFonts w:ascii="Arial" w:hAnsi="Arial" w:cs="Arial"/>
                <w:sz w:val="17"/>
                <w:szCs w:val="17"/>
              </w:rPr>
              <w:t>1.- Amortizaciones de la deuda, tomando el saldo al 31 de diciembre de2020:</w:t>
            </w:r>
          </w:p>
          <w:p w:rsidR="00D439E7" w:rsidRPr="00FE24F9" w:rsidRDefault="00D439E7" w:rsidP="00D439E7">
            <w:pPr>
              <w:ind w:left="918"/>
              <w:rPr>
                <w:rFonts w:ascii="Arial" w:hAnsi="Arial" w:cs="Arial"/>
                <w:sz w:val="17"/>
                <w:szCs w:val="17"/>
              </w:rPr>
            </w:pPr>
          </w:p>
        </w:tc>
      </w:tr>
      <w:tr w:rsidR="0007655A" w:rsidRPr="00FE24F9" w:rsidTr="00D439E7">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jc w:val="both"/>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 </w:t>
            </w:r>
          </w:p>
        </w:tc>
        <w:tc>
          <w:tcPr>
            <w:tcW w:w="3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Importe</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al 31 de diciembre del 2020</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164,772,150</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(-)Amortización 1</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7,248,128</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descontando la amortización 1</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157,524,022</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(-)Amortización 2</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7,349,601</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descontando la amortización 2</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150,174,421</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(-)Amortización 3</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7,452,496</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descontando la amortización 3</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142,721,925</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(-)Amortización 4</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7,556,831</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descontando la amortización 4</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135,165,094</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(-)Amortización 5</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7,662,626</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descontando la amortización 5</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127,502,468</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(-)Amortización 6</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7,769,903</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Deuda Pública Bruta Total descontando la amortización 6</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119,732,565</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E341D8" w:rsidRDefault="0007655A" w:rsidP="00B033C4">
            <w:pPr>
              <w:rPr>
                <w:rFonts w:ascii="Arial" w:hAnsi="Arial" w:cs="Arial"/>
                <w:color w:val="000000"/>
                <w:sz w:val="17"/>
                <w:szCs w:val="17"/>
              </w:rPr>
            </w:pPr>
            <w:r w:rsidRPr="00E341D8">
              <w:rPr>
                <w:rFonts w:ascii="Arial" w:hAnsi="Arial" w:cs="Arial"/>
                <w:color w:val="000000"/>
                <w:sz w:val="17"/>
                <w:szCs w:val="17"/>
              </w:rPr>
              <w:t>Liquidación por prepagos</w:t>
            </w:r>
            <w:r w:rsidR="007F3EB9" w:rsidRPr="00E341D8">
              <w:rPr>
                <w:rFonts w:ascii="Arial" w:hAnsi="Arial" w:cs="Arial"/>
                <w:color w:val="000000"/>
                <w:sz w:val="17"/>
                <w:szCs w:val="17"/>
              </w:rPr>
              <w:t xml:space="preserve"> fecha de liquidación</w:t>
            </w:r>
            <w:r w:rsidR="00E341D8" w:rsidRPr="00E341D8">
              <w:rPr>
                <w:rFonts w:ascii="Arial" w:hAnsi="Arial" w:cs="Arial"/>
                <w:color w:val="000000"/>
                <w:sz w:val="17"/>
                <w:szCs w:val="17"/>
              </w:rPr>
              <w:t xml:space="preserve"> Junio 2021</w:t>
            </w:r>
          </w:p>
        </w:tc>
        <w:tc>
          <w:tcPr>
            <w:tcW w:w="3680" w:type="dxa"/>
            <w:gridSpan w:val="2"/>
            <w:tcBorders>
              <w:top w:val="single" w:sz="4" w:space="0" w:color="auto"/>
              <w:left w:val="nil"/>
              <w:bottom w:val="single" w:sz="4" w:space="0" w:color="auto"/>
              <w:right w:val="single" w:sz="4" w:space="0" w:color="000000"/>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36,272,026</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E341D8" w:rsidRDefault="0007655A" w:rsidP="00B033C4">
            <w:pPr>
              <w:rPr>
                <w:rFonts w:ascii="Arial" w:hAnsi="Arial" w:cs="Arial"/>
                <w:color w:val="000000"/>
                <w:sz w:val="17"/>
                <w:szCs w:val="17"/>
              </w:rPr>
            </w:pPr>
            <w:r w:rsidRPr="00E341D8">
              <w:rPr>
                <w:rFonts w:ascii="Arial" w:hAnsi="Arial" w:cs="Arial"/>
                <w:color w:val="000000"/>
                <w:sz w:val="17"/>
                <w:szCs w:val="17"/>
              </w:rPr>
              <w:t>Liquidación por prepagos</w:t>
            </w:r>
            <w:r w:rsidR="007F3EB9" w:rsidRPr="00E341D8">
              <w:rPr>
                <w:rFonts w:ascii="Arial" w:hAnsi="Arial" w:cs="Arial"/>
                <w:color w:val="000000"/>
                <w:sz w:val="17"/>
                <w:szCs w:val="17"/>
              </w:rPr>
              <w:t xml:space="preserve"> fecha de liquidación</w:t>
            </w:r>
            <w:r w:rsidR="00E341D8" w:rsidRPr="00E341D8">
              <w:rPr>
                <w:rFonts w:ascii="Arial" w:hAnsi="Arial" w:cs="Arial"/>
                <w:color w:val="000000"/>
                <w:sz w:val="17"/>
                <w:szCs w:val="17"/>
              </w:rPr>
              <w:t xml:space="preserve"> Junio 2021</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83,460,539</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5093" w:type="dxa"/>
            <w:gridSpan w:val="4"/>
            <w:tcBorders>
              <w:top w:val="single" w:sz="4" w:space="0" w:color="auto"/>
              <w:left w:val="single" w:sz="4" w:space="0" w:color="auto"/>
              <w:bottom w:val="single" w:sz="4" w:space="0" w:color="auto"/>
              <w:right w:val="nil"/>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SALDO DE DEUDA</w:t>
            </w:r>
          </w:p>
        </w:tc>
        <w:tc>
          <w:tcPr>
            <w:tcW w:w="3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55A" w:rsidRPr="00FE24F9" w:rsidRDefault="0099467F" w:rsidP="00B033C4">
            <w:pPr>
              <w:jc w:val="center"/>
              <w:rPr>
                <w:rFonts w:ascii="Arial" w:hAnsi="Arial" w:cs="Arial"/>
                <w:color w:val="000000"/>
                <w:sz w:val="17"/>
                <w:szCs w:val="17"/>
              </w:rPr>
            </w:pPr>
            <w:r>
              <w:rPr>
                <w:rFonts w:ascii="Arial" w:hAnsi="Arial" w:cs="Arial"/>
                <w:color w:val="000000"/>
                <w:sz w:val="17"/>
                <w:szCs w:val="17"/>
              </w:rPr>
              <w:t>-</w:t>
            </w:r>
          </w:p>
        </w:tc>
        <w:tc>
          <w:tcPr>
            <w:tcW w:w="1276"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BA272D" w:rsidTr="00CB6C4E">
        <w:trPr>
          <w:trHeight w:val="216"/>
        </w:trPr>
        <w:tc>
          <w:tcPr>
            <w:tcW w:w="1423"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835"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139"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701"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418"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984"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69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27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11860" w:type="dxa"/>
            <w:gridSpan w:val="9"/>
            <w:tcBorders>
              <w:top w:val="nil"/>
              <w:left w:val="nil"/>
              <w:bottom w:val="nil"/>
              <w:right w:val="nil"/>
            </w:tcBorders>
            <w:shd w:val="clear" w:color="auto" w:fill="auto"/>
            <w:vAlign w:val="center"/>
            <w:hideMark/>
          </w:tcPr>
          <w:p w:rsidR="0007655A" w:rsidRPr="00BA272D" w:rsidRDefault="0007655A" w:rsidP="00B033C4">
            <w:pPr>
              <w:jc w:val="both"/>
              <w:rPr>
                <w:rFonts w:ascii="Arial" w:hAnsi="Arial" w:cs="Arial"/>
                <w:color w:val="000000"/>
                <w:sz w:val="17"/>
                <w:szCs w:val="17"/>
              </w:rPr>
            </w:pPr>
          </w:p>
          <w:p w:rsidR="0007655A" w:rsidRPr="00BA272D" w:rsidRDefault="0007655A" w:rsidP="00B033C4">
            <w:pPr>
              <w:pStyle w:val="Prrafodelista"/>
              <w:numPr>
                <w:ilvl w:val="0"/>
                <w:numId w:val="39"/>
              </w:numPr>
              <w:jc w:val="both"/>
              <w:rPr>
                <w:rFonts w:ascii="Arial" w:hAnsi="Arial" w:cs="Arial"/>
                <w:color w:val="000000"/>
                <w:sz w:val="17"/>
                <w:szCs w:val="17"/>
              </w:rPr>
            </w:pPr>
            <w:r w:rsidRPr="00BA272D">
              <w:rPr>
                <w:rFonts w:ascii="Arial" w:hAnsi="Arial" w:cs="Arial"/>
                <w:color w:val="000000"/>
                <w:sz w:val="17"/>
                <w:szCs w:val="17"/>
              </w:rPr>
              <w:lastRenderedPageBreak/>
              <w:t>Un comparativo de la relación deuda pública bruta total a producto interno bruto del estado entre el 31 de diciembre del ejercicio fiscal anterior y la fecha de la amortización.</w:t>
            </w:r>
          </w:p>
          <w:p w:rsidR="0007655A" w:rsidRPr="00BA272D" w:rsidRDefault="0007655A" w:rsidP="00B033C4">
            <w:pPr>
              <w:pStyle w:val="Prrafodelista"/>
              <w:ind w:left="780"/>
              <w:jc w:val="both"/>
              <w:rPr>
                <w:rFonts w:ascii="Arial" w:hAnsi="Arial" w:cs="Arial"/>
                <w:color w:val="000000"/>
                <w:sz w:val="17"/>
                <w:szCs w:val="17"/>
              </w:rPr>
            </w:pPr>
          </w:p>
        </w:tc>
      </w:tr>
      <w:tr w:rsidR="0007655A" w:rsidRPr="00BA272D" w:rsidTr="00CB6C4E">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jc w:val="both"/>
              <w:rPr>
                <w:rFonts w:ascii="Arial" w:hAnsi="Arial" w:cs="Arial"/>
                <w:color w:val="000000"/>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835"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139"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701"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418"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984"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69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27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D439E7">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 </w:t>
            </w:r>
          </w:p>
        </w:tc>
        <w:tc>
          <w:tcPr>
            <w:tcW w:w="34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Al 31 de dic del año 2020</w:t>
            </w:r>
          </w:p>
        </w:tc>
        <w:tc>
          <w:tcPr>
            <w:tcW w:w="29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Trimestre que se informa al 4to de 2021</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99467F" w:rsidP="00B033C4">
            <w:pPr>
              <w:jc w:val="right"/>
              <w:rPr>
                <w:rFonts w:ascii="Arial" w:hAnsi="Arial" w:cs="Arial"/>
                <w:color w:val="000000"/>
                <w:sz w:val="17"/>
                <w:szCs w:val="17"/>
              </w:rPr>
            </w:pPr>
            <w:r>
              <w:rPr>
                <w:rFonts w:ascii="Arial" w:hAnsi="Arial" w:cs="Arial"/>
                <w:color w:val="000000"/>
                <w:sz w:val="17"/>
                <w:szCs w:val="17"/>
              </w:rPr>
              <w:t>Producto Interno Bruto E</w:t>
            </w:r>
            <w:r w:rsidR="0007655A" w:rsidRPr="00FE24F9">
              <w:rPr>
                <w:rFonts w:ascii="Arial" w:hAnsi="Arial" w:cs="Arial"/>
                <w:color w:val="000000"/>
                <w:sz w:val="17"/>
                <w:szCs w:val="17"/>
              </w:rPr>
              <w:t>statal</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527,156,070,000</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533,020,926,000</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(estimado)</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(estimado)</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99467F" w:rsidP="00B033C4">
            <w:pPr>
              <w:rPr>
                <w:rFonts w:ascii="Arial" w:hAnsi="Arial" w:cs="Arial"/>
                <w:color w:val="000000"/>
                <w:sz w:val="17"/>
                <w:szCs w:val="17"/>
              </w:rPr>
            </w:pPr>
            <w:r>
              <w:rPr>
                <w:rFonts w:ascii="Arial" w:hAnsi="Arial" w:cs="Arial"/>
                <w:color w:val="000000"/>
                <w:sz w:val="17"/>
                <w:szCs w:val="17"/>
              </w:rPr>
              <w:t>Saldo de la Deuda P</w:t>
            </w:r>
            <w:r w:rsidR="0007655A" w:rsidRPr="00FE24F9">
              <w:rPr>
                <w:rFonts w:ascii="Arial" w:hAnsi="Arial" w:cs="Arial"/>
                <w:color w:val="000000"/>
                <w:sz w:val="17"/>
                <w:szCs w:val="17"/>
              </w:rPr>
              <w:t xml:space="preserve">ública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164,772,150</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99467F" w:rsidP="00B033C4">
            <w:pPr>
              <w:jc w:val="center"/>
              <w:rPr>
                <w:rFonts w:ascii="Arial" w:hAnsi="Arial" w:cs="Arial"/>
                <w:color w:val="000000"/>
                <w:sz w:val="17"/>
                <w:szCs w:val="17"/>
              </w:rPr>
            </w:pPr>
            <w:r>
              <w:rPr>
                <w:rFonts w:ascii="Arial" w:hAnsi="Arial" w:cs="Arial"/>
                <w:color w:val="000000"/>
                <w:sz w:val="17"/>
                <w:szCs w:val="17"/>
              </w:rPr>
              <w:t>-</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Porcentaje</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0.0313%</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0.0000%</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BA272D" w:rsidTr="00CB6C4E">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835"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139"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701"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418"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984"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69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27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11860" w:type="dxa"/>
            <w:gridSpan w:val="9"/>
            <w:tcBorders>
              <w:top w:val="nil"/>
              <w:left w:val="nil"/>
              <w:bottom w:val="nil"/>
              <w:right w:val="nil"/>
            </w:tcBorders>
            <w:shd w:val="clear" w:color="auto" w:fill="auto"/>
            <w:vAlign w:val="center"/>
            <w:hideMark/>
          </w:tcPr>
          <w:p w:rsidR="0007655A" w:rsidRPr="00BA272D" w:rsidRDefault="0007655A" w:rsidP="00B033C4">
            <w:pPr>
              <w:jc w:val="both"/>
              <w:rPr>
                <w:rFonts w:ascii="Arial" w:hAnsi="Arial" w:cs="Arial"/>
                <w:color w:val="000000"/>
                <w:sz w:val="17"/>
                <w:szCs w:val="17"/>
              </w:rPr>
            </w:pPr>
          </w:p>
          <w:p w:rsidR="0007655A" w:rsidRPr="00BA272D" w:rsidRDefault="0007655A" w:rsidP="00B033C4">
            <w:pPr>
              <w:pStyle w:val="Prrafodelista"/>
              <w:numPr>
                <w:ilvl w:val="0"/>
                <w:numId w:val="39"/>
              </w:numPr>
              <w:ind w:left="649" w:hanging="289"/>
              <w:jc w:val="both"/>
              <w:rPr>
                <w:rFonts w:ascii="Arial" w:hAnsi="Arial" w:cs="Arial"/>
                <w:color w:val="000000"/>
                <w:sz w:val="17"/>
                <w:szCs w:val="17"/>
              </w:rPr>
            </w:pPr>
            <w:r w:rsidRPr="00BA272D">
              <w:rPr>
                <w:rFonts w:ascii="Arial" w:hAnsi="Arial" w:cs="Arial"/>
                <w:color w:val="000000"/>
                <w:sz w:val="17"/>
                <w:szCs w:val="17"/>
              </w:rPr>
              <w:t>Un comparativo de la relación deuda pública bruta total a ingresos propios del estado o municipio, según corresponda, e</w:t>
            </w:r>
            <w:r>
              <w:rPr>
                <w:rFonts w:ascii="Arial" w:hAnsi="Arial" w:cs="Arial"/>
                <w:color w:val="000000"/>
                <w:sz w:val="17"/>
                <w:szCs w:val="17"/>
              </w:rPr>
              <w:t xml:space="preserve">ntre el 31 de diciembre del </w:t>
            </w:r>
            <w:r w:rsidRPr="00BA272D">
              <w:rPr>
                <w:rFonts w:ascii="Arial" w:hAnsi="Arial" w:cs="Arial"/>
                <w:color w:val="000000"/>
                <w:sz w:val="17"/>
                <w:szCs w:val="17"/>
              </w:rPr>
              <w:t>ejercicio fiscal anterior y la fecha de la amortización.</w:t>
            </w:r>
          </w:p>
        </w:tc>
      </w:tr>
      <w:tr w:rsidR="0007655A" w:rsidRPr="00BA272D" w:rsidTr="00CB6C4E">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jc w:val="both"/>
              <w:rPr>
                <w:rFonts w:ascii="Arial" w:hAnsi="Arial" w:cs="Arial"/>
                <w:color w:val="000000"/>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835"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139"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701"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418"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984"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69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276"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1097"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r>
      <w:tr w:rsidR="0007655A" w:rsidRPr="00FE24F9" w:rsidTr="00D439E7">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 </w:t>
            </w:r>
          </w:p>
        </w:tc>
        <w:tc>
          <w:tcPr>
            <w:tcW w:w="34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Al 31 de dic del año 2020</w:t>
            </w:r>
          </w:p>
        </w:tc>
        <w:tc>
          <w:tcPr>
            <w:tcW w:w="29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Trimestre que se informa al 4to de 2021</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07655A" w:rsidP="00B033C4">
            <w:pPr>
              <w:jc w:val="right"/>
              <w:rPr>
                <w:rFonts w:ascii="Arial" w:hAnsi="Arial" w:cs="Arial"/>
                <w:color w:val="000000"/>
                <w:sz w:val="17"/>
                <w:szCs w:val="17"/>
              </w:rPr>
            </w:pPr>
            <w:r w:rsidRPr="00FE24F9">
              <w:rPr>
                <w:rFonts w:ascii="Arial" w:hAnsi="Arial" w:cs="Arial"/>
                <w:color w:val="000000"/>
                <w:sz w:val="17"/>
                <w:szCs w:val="17"/>
              </w:rPr>
              <w:t>Ingresos Propios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4,567,322,417</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5,582,812,109</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center"/>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jc w:val="both"/>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Saldo de la Deuda Pública</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164,772,150</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0</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r w:rsidR="0007655A" w:rsidRPr="00FE24F9" w:rsidTr="00B033C4">
        <w:trPr>
          <w:trHeight w:val="216"/>
        </w:trPr>
        <w:tc>
          <w:tcPr>
            <w:tcW w:w="1423"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714" w:type="dxa"/>
            <w:tcBorders>
              <w:top w:val="nil"/>
              <w:left w:val="nil"/>
              <w:bottom w:val="nil"/>
              <w:right w:val="nil"/>
            </w:tcBorders>
            <w:shd w:val="clear" w:color="auto" w:fill="auto"/>
            <w:noWrap/>
            <w:vAlign w:val="bottom"/>
            <w:hideMark/>
          </w:tcPr>
          <w:p w:rsidR="0007655A" w:rsidRPr="00FE24F9" w:rsidRDefault="0007655A" w:rsidP="00B033C4">
            <w:pPr>
              <w:rPr>
                <w:rFonts w:ascii="Arial" w:hAnsi="Arial" w:cs="Arial"/>
                <w:sz w:val="17"/>
                <w:szCs w:val="17"/>
              </w:rPr>
            </w:pPr>
          </w:p>
        </w:tc>
        <w:tc>
          <w:tcPr>
            <w:tcW w:w="3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655A" w:rsidRPr="00FE24F9" w:rsidRDefault="0007655A" w:rsidP="00B033C4">
            <w:pPr>
              <w:rPr>
                <w:rFonts w:ascii="Arial" w:hAnsi="Arial" w:cs="Arial"/>
                <w:color w:val="000000"/>
                <w:sz w:val="17"/>
                <w:szCs w:val="17"/>
              </w:rPr>
            </w:pPr>
            <w:r w:rsidRPr="00FE24F9">
              <w:rPr>
                <w:rFonts w:ascii="Arial" w:hAnsi="Arial" w:cs="Arial"/>
                <w:color w:val="000000"/>
                <w:sz w:val="17"/>
                <w:szCs w:val="17"/>
              </w:rPr>
              <w:t>Porcentaje</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3.61%</w:t>
            </w:r>
          </w:p>
        </w:tc>
        <w:tc>
          <w:tcPr>
            <w:tcW w:w="2972" w:type="dxa"/>
            <w:gridSpan w:val="2"/>
            <w:tcBorders>
              <w:top w:val="single" w:sz="4" w:space="0" w:color="auto"/>
              <w:left w:val="nil"/>
              <w:bottom w:val="single" w:sz="4" w:space="0" w:color="auto"/>
              <w:right w:val="single" w:sz="4" w:space="0" w:color="auto"/>
            </w:tcBorders>
            <w:shd w:val="clear" w:color="auto" w:fill="auto"/>
            <w:vAlign w:val="center"/>
            <w:hideMark/>
          </w:tcPr>
          <w:p w:rsidR="0007655A" w:rsidRPr="00FE24F9" w:rsidRDefault="0007655A" w:rsidP="00B033C4">
            <w:pPr>
              <w:jc w:val="center"/>
              <w:rPr>
                <w:rFonts w:ascii="Arial" w:hAnsi="Arial" w:cs="Arial"/>
                <w:color w:val="000000"/>
                <w:sz w:val="17"/>
                <w:szCs w:val="17"/>
              </w:rPr>
            </w:pPr>
            <w:r w:rsidRPr="00FE24F9">
              <w:rPr>
                <w:rFonts w:ascii="Arial" w:hAnsi="Arial" w:cs="Arial"/>
                <w:color w:val="000000"/>
                <w:sz w:val="17"/>
                <w:szCs w:val="17"/>
              </w:rPr>
              <w:t>0.00%</w:t>
            </w:r>
          </w:p>
        </w:tc>
        <w:tc>
          <w:tcPr>
            <w:tcW w:w="1097" w:type="dxa"/>
            <w:tcBorders>
              <w:top w:val="nil"/>
              <w:left w:val="nil"/>
              <w:bottom w:val="nil"/>
              <w:right w:val="nil"/>
            </w:tcBorders>
            <w:shd w:val="clear" w:color="auto" w:fill="auto"/>
            <w:noWrap/>
            <w:vAlign w:val="bottom"/>
            <w:hideMark/>
          </w:tcPr>
          <w:p w:rsidR="0007655A" w:rsidRPr="00FE24F9" w:rsidRDefault="0007655A" w:rsidP="00B033C4">
            <w:pPr>
              <w:jc w:val="center"/>
              <w:rPr>
                <w:rFonts w:ascii="Arial" w:hAnsi="Arial" w:cs="Arial"/>
                <w:color w:val="000000"/>
                <w:sz w:val="17"/>
                <w:szCs w:val="17"/>
              </w:rPr>
            </w:pPr>
          </w:p>
        </w:tc>
      </w:tr>
    </w:tbl>
    <w:p w:rsidR="00BA272D" w:rsidRDefault="00BA272D" w:rsidP="002948F8">
      <w:pPr>
        <w:spacing w:before="80" w:line="240" w:lineRule="exact"/>
        <w:ind w:left="567"/>
        <w:jc w:val="both"/>
        <w:rPr>
          <w:rFonts w:ascii="Arial" w:eastAsia="Calibri" w:hAnsi="Arial" w:cs="Arial"/>
          <w:b/>
          <w:spacing w:val="-1"/>
          <w:sz w:val="17"/>
          <w:szCs w:val="17"/>
        </w:rPr>
      </w:pPr>
    </w:p>
    <w:p w:rsidR="0099467F" w:rsidRDefault="0099467F" w:rsidP="002948F8">
      <w:pPr>
        <w:spacing w:before="80" w:line="240" w:lineRule="exact"/>
        <w:ind w:left="567"/>
        <w:jc w:val="both"/>
        <w:rPr>
          <w:rFonts w:ascii="Arial" w:eastAsia="Calibri" w:hAnsi="Arial" w:cs="Arial"/>
          <w:b/>
          <w:spacing w:val="-1"/>
          <w:sz w:val="17"/>
          <w:szCs w:val="17"/>
        </w:rPr>
      </w:pPr>
    </w:p>
    <w:p w:rsidR="00F71E5C" w:rsidRPr="00BA272D" w:rsidRDefault="00F71E5C" w:rsidP="00E341D8">
      <w:pPr>
        <w:pStyle w:val="Prrafodelista"/>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Calificaciones otorgadas</w:t>
      </w:r>
    </w:p>
    <w:p w:rsidR="00F71E5C" w:rsidRDefault="00F71E5C" w:rsidP="00E341D8">
      <w:pPr>
        <w:pStyle w:val="Prrafodelista"/>
        <w:spacing w:before="80" w:line="240" w:lineRule="exact"/>
        <w:ind w:left="851"/>
        <w:jc w:val="both"/>
        <w:rPr>
          <w:rFonts w:ascii="Arial" w:eastAsia="Calibri" w:hAnsi="Arial" w:cs="Arial"/>
          <w:b/>
          <w:spacing w:val="-1"/>
          <w:sz w:val="17"/>
          <w:szCs w:val="17"/>
        </w:rPr>
      </w:pPr>
    </w:p>
    <w:p w:rsidR="0099467F" w:rsidRPr="00BA272D" w:rsidRDefault="0099467F" w:rsidP="00E341D8">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E341D8">
      <w:pPr>
        <w:pStyle w:val="Prrafodelista"/>
        <w:numPr>
          <w:ilvl w:val="0"/>
          <w:numId w:val="13"/>
        </w:numPr>
        <w:spacing w:before="80" w:line="240" w:lineRule="exact"/>
        <w:ind w:left="851" w:firstLine="0"/>
        <w:jc w:val="both"/>
        <w:rPr>
          <w:rFonts w:ascii="Arial" w:eastAsia="Calibri" w:hAnsi="Arial" w:cs="Arial"/>
          <w:b/>
          <w:spacing w:val="-1"/>
          <w:sz w:val="17"/>
          <w:szCs w:val="17"/>
          <w:u w:val="single"/>
        </w:rPr>
      </w:pPr>
      <w:r w:rsidRPr="00BA272D">
        <w:rPr>
          <w:rFonts w:ascii="Arial" w:eastAsia="Calibri" w:hAnsi="Arial" w:cs="Arial"/>
          <w:b/>
          <w:spacing w:val="-1"/>
          <w:sz w:val="17"/>
          <w:szCs w:val="17"/>
          <w:u w:val="single"/>
        </w:rPr>
        <w:t xml:space="preserve">Opinión Crediticia emitida por </w:t>
      </w:r>
      <w:proofErr w:type="spellStart"/>
      <w:r w:rsidRPr="00BA272D">
        <w:rPr>
          <w:rFonts w:ascii="Arial" w:eastAsia="Calibri" w:hAnsi="Arial" w:cs="Arial"/>
          <w:b/>
          <w:spacing w:val="-1"/>
          <w:sz w:val="17"/>
          <w:szCs w:val="17"/>
          <w:u w:val="single"/>
        </w:rPr>
        <w:t>Moody’s</w:t>
      </w:r>
      <w:proofErr w:type="spellEnd"/>
      <w:r w:rsidRPr="00BA272D">
        <w:rPr>
          <w:rFonts w:ascii="Arial" w:eastAsia="Calibri" w:hAnsi="Arial" w:cs="Arial"/>
          <w:b/>
          <w:spacing w:val="-1"/>
          <w:sz w:val="17"/>
          <w:szCs w:val="17"/>
          <w:u w:val="single"/>
        </w:rPr>
        <w:t xml:space="preserve"> </w:t>
      </w:r>
      <w:proofErr w:type="spellStart"/>
      <w:r w:rsidRPr="00BA272D">
        <w:rPr>
          <w:rFonts w:ascii="Arial" w:eastAsia="Calibri" w:hAnsi="Arial" w:cs="Arial"/>
          <w:b/>
          <w:spacing w:val="-1"/>
          <w:sz w:val="17"/>
          <w:szCs w:val="17"/>
          <w:u w:val="single"/>
        </w:rPr>
        <w:t>Investors</w:t>
      </w:r>
      <w:proofErr w:type="spellEnd"/>
      <w:r w:rsidRPr="00BA272D">
        <w:rPr>
          <w:rFonts w:ascii="Arial" w:eastAsia="Calibri" w:hAnsi="Arial" w:cs="Arial"/>
          <w:b/>
          <w:spacing w:val="-1"/>
          <w:sz w:val="17"/>
          <w:szCs w:val="17"/>
          <w:u w:val="single"/>
        </w:rPr>
        <w:t xml:space="preserve"> </w:t>
      </w:r>
      <w:proofErr w:type="spellStart"/>
      <w:r w:rsidRPr="00BA272D">
        <w:rPr>
          <w:rFonts w:ascii="Arial" w:eastAsia="Calibri" w:hAnsi="Arial" w:cs="Arial"/>
          <w:b/>
          <w:spacing w:val="-1"/>
          <w:sz w:val="17"/>
          <w:szCs w:val="17"/>
          <w:u w:val="single"/>
        </w:rPr>
        <w:t>Service</w:t>
      </w:r>
      <w:proofErr w:type="spellEnd"/>
      <w:r w:rsidRPr="00BA272D">
        <w:rPr>
          <w:rFonts w:ascii="Arial" w:eastAsia="Calibri" w:hAnsi="Arial" w:cs="Arial"/>
          <w:b/>
          <w:spacing w:val="-1"/>
          <w:sz w:val="17"/>
          <w:szCs w:val="17"/>
          <w:u w:val="single"/>
        </w:rPr>
        <w:t>:</w:t>
      </w:r>
    </w:p>
    <w:p w:rsidR="00FE24F9" w:rsidRDefault="00FE24F9" w:rsidP="00E341D8">
      <w:pPr>
        <w:spacing w:before="80" w:line="240" w:lineRule="exact"/>
        <w:ind w:left="851"/>
        <w:jc w:val="both"/>
        <w:rPr>
          <w:rFonts w:ascii="Arial" w:eastAsia="Calibri" w:hAnsi="Arial" w:cs="Arial"/>
          <w:b/>
          <w:spacing w:val="-1"/>
          <w:sz w:val="17"/>
          <w:szCs w:val="17"/>
        </w:rPr>
      </w:pPr>
    </w:p>
    <w:p w:rsidR="00F71E5C" w:rsidRDefault="00F71E5C" w:rsidP="00E341D8">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 xml:space="preserve">Resumen </w:t>
      </w:r>
    </w:p>
    <w:p w:rsidR="0037045C" w:rsidRPr="00BA272D" w:rsidRDefault="0037045C" w:rsidP="002948F8">
      <w:pPr>
        <w:spacing w:before="80" w:line="240" w:lineRule="exact"/>
        <w:ind w:left="567"/>
        <w:jc w:val="both"/>
        <w:rPr>
          <w:rFonts w:ascii="Arial" w:eastAsia="Calibri" w:hAnsi="Arial" w:cs="Arial"/>
          <w:b/>
          <w:spacing w:val="-1"/>
          <w:sz w:val="17"/>
          <w:szCs w:val="17"/>
        </w:rPr>
      </w:pPr>
    </w:p>
    <w:p w:rsidR="00F71E5C" w:rsidRPr="00BA272D" w:rsidRDefault="00F71E5C" w:rsidP="00E341D8">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perfil crediticio del Estado de Querétaro (Baa1/Aa1.mx negativa) refleja muy bajos niveles de endeudamiento, una muy fuerte liquidez y fuertes prácticas de administración y gobierno interno. El perfil crediticio del estado también considera un reciente deterioro de los márgenes operativo y financiero derivado de las medidas implementadas por el estado para contrarrestar el impacto negativo de la pandemia. Dado que esperamos que durante 2021 las transferencias federales no registren crecimientos importantes, la recuperación de estos indicadores se podría dar hasta 2022. El principal reto crediticio es que el estado no cuenta con un sistema de pensiones y aunque se han tomado medidas para controlar el pasivo, continúa siendo una contingencia.</w:t>
      </w:r>
    </w:p>
    <w:p w:rsidR="00F71E5C" w:rsidRDefault="00F71E5C" w:rsidP="002948F8">
      <w:pPr>
        <w:spacing w:before="80" w:line="240" w:lineRule="exact"/>
        <w:ind w:left="567"/>
        <w:jc w:val="both"/>
        <w:rPr>
          <w:rFonts w:ascii="Arial" w:eastAsia="Calibri" w:hAnsi="Arial" w:cs="Arial"/>
          <w:spacing w:val="-1"/>
          <w:sz w:val="17"/>
          <w:szCs w:val="17"/>
        </w:rPr>
      </w:pPr>
    </w:p>
    <w:p w:rsidR="0099467F" w:rsidRDefault="0099467F" w:rsidP="002948F8">
      <w:pPr>
        <w:spacing w:before="80" w:line="240" w:lineRule="exact"/>
        <w:ind w:left="567"/>
        <w:jc w:val="both"/>
        <w:rPr>
          <w:rFonts w:ascii="Arial" w:eastAsia="Calibri" w:hAnsi="Arial" w:cs="Arial"/>
          <w:spacing w:val="-1"/>
          <w:sz w:val="17"/>
          <w:szCs w:val="17"/>
        </w:rPr>
      </w:pPr>
    </w:p>
    <w:p w:rsidR="0099467F" w:rsidRDefault="0099467F" w:rsidP="0099467F">
      <w:pPr>
        <w:spacing w:before="80" w:line="240" w:lineRule="exact"/>
        <w:jc w:val="both"/>
        <w:rPr>
          <w:rFonts w:ascii="Arial" w:eastAsia="Calibri" w:hAnsi="Arial" w:cs="Arial"/>
          <w:spacing w:val="-1"/>
          <w:sz w:val="17"/>
          <w:szCs w:val="17"/>
        </w:rPr>
      </w:pPr>
    </w:p>
    <w:p w:rsidR="00DD7A5F" w:rsidRDefault="00DD7A5F" w:rsidP="0099467F">
      <w:pPr>
        <w:spacing w:before="80" w:line="240" w:lineRule="exact"/>
        <w:jc w:val="both"/>
        <w:rPr>
          <w:rFonts w:ascii="Arial" w:eastAsia="Calibri" w:hAnsi="Arial" w:cs="Arial"/>
          <w:spacing w:val="-1"/>
          <w:sz w:val="17"/>
          <w:szCs w:val="17"/>
        </w:rPr>
      </w:pPr>
    </w:p>
    <w:p w:rsidR="00DD7A5F" w:rsidRPr="00BA272D" w:rsidRDefault="00DD7A5F" w:rsidP="0099467F">
      <w:pPr>
        <w:spacing w:before="80" w:line="240" w:lineRule="exact"/>
        <w:jc w:val="both"/>
        <w:rPr>
          <w:rFonts w:ascii="Arial" w:eastAsia="Calibri" w:hAnsi="Arial" w:cs="Arial"/>
          <w:spacing w:val="-1"/>
          <w:sz w:val="17"/>
          <w:szCs w:val="17"/>
        </w:rPr>
      </w:pPr>
    </w:p>
    <w:p w:rsidR="0037045C" w:rsidRPr="0099467F" w:rsidRDefault="00F71E5C" w:rsidP="0099467F">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Fortalezas Crediticias</w:t>
      </w:r>
    </w:p>
    <w:p w:rsidR="00F71E5C" w:rsidRPr="00BA272D" w:rsidRDefault="00F71E5C" w:rsidP="00D439E7">
      <w:pPr>
        <w:pStyle w:val="Prrafodelista"/>
        <w:numPr>
          <w:ilvl w:val="0"/>
          <w:numId w:val="11"/>
        </w:numPr>
        <w:spacing w:before="80" w:line="240" w:lineRule="exact"/>
        <w:ind w:left="851" w:firstLine="0"/>
        <w:rPr>
          <w:rFonts w:ascii="Arial" w:eastAsia="Calibri" w:hAnsi="Arial" w:cs="Arial"/>
          <w:spacing w:val="-1"/>
          <w:sz w:val="17"/>
          <w:szCs w:val="17"/>
        </w:rPr>
      </w:pPr>
      <w:r w:rsidRPr="00BA272D">
        <w:rPr>
          <w:rFonts w:ascii="Arial" w:eastAsia="Calibri" w:hAnsi="Arial" w:cs="Arial"/>
          <w:spacing w:val="-1"/>
          <w:sz w:val="17"/>
          <w:szCs w:val="17"/>
        </w:rPr>
        <w:t>Economía dinámica que respalda una base de ingresos propios productiva.</w:t>
      </w:r>
    </w:p>
    <w:p w:rsidR="00F71E5C" w:rsidRPr="00BA272D" w:rsidRDefault="00F71E5C" w:rsidP="00D439E7">
      <w:pPr>
        <w:pStyle w:val="Prrafodelista"/>
        <w:numPr>
          <w:ilvl w:val="0"/>
          <w:numId w:val="11"/>
        </w:numPr>
        <w:spacing w:before="80" w:line="240" w:lineRule="exact"/>
        <w:ind w:left="851" w:firstLine="0"/>
        <w:rPr>
          <w:rFonts w:ascii="Arial" w:eastAsia="Calibri" w:hAnsi="Arial" w:cs="Arial"/>
          <w:spacing w:val="-1"/>
          <w:sz w:val="17"/>
          <w:szCs w:val="17"/>
        </w:rPr>
      </w:pPr>
      <w:r w:rsidRPr="00BA272D">
        <w:rPr>
          <w:rFonts w:ascii="Arial" w:eastAsia="Calibri" w:hAnsi="Arial" w:cs="Arial"/>
          <w:spacing w:val="-1"/>
          <w:sz w:val="17"/>
          <w:szCs w:val="17"/>
        </w:rPr>
        <w:t>Bajos niveles de deuda y de servicio de la deuda.</w:t>
      </w:r>
    </w:p>
    <w:p w:rsidR="00F71E5C" w:rsidRPr="00BA272D" w:rsidRDefault="00F71E5C" w:rsidP="00D439E7">
      <w:pPr>
        <w:pStyle w:val="Prrafodelista"/>
        <w:numPr>
          <w:ilvl w:val="0"/>
          <w:numId w:val="11"/>
        </w:numPr>
        <w:spacing w:before="80" w:line="240" w:lineRule="exact"/>
        <w:ind w:left="851" w:firstLine="0"/>
        <w:rPr>
          <w:rFonts w:ascii="Arial" w:eastAsia="Calibri" w:hAnsi="Arial" w:cs="Arial"/>
          <w:spacing w:val="-1"/>
          <w:sz w:val="17"/>
          <w:szCs w:val="17"/>
        </w:rPr>
      </w:pPr>
      <w:r w:rsidRPr="00BA272D">
        <w:rPr>
          <w:rFonts w:ascii="Arial" w:eastAsia="Calibri" w:hAnsi="Arial" w:cs="Arial"/>
          <w:spacing w:val="-1"/>
          <w:sz w:val="17"/>
          <w:szCs w:val="17"/>
        </w:rPr>
        <w:t>Muy fuerte posición de liquidez.</w:t>
      </w:r>
    </w:p>
    <w:p w:rsidR="00BA272D" w:rsidRPr="0037045C" w:rsidRDefault="00F71E5C" w:rsidP="00D439E7">
      <w:pPr>
        <w:pStyle w:val="Prrafodelista"/>
        <w:numPr>
          <w:ilvl w:val="0"/>
          <w:numId w:val="11"/>
        </w:numPr>
        <w:spacing w:before="80" w:line="240" w:lineRule="exact"/>
        <w:ind w:left="851" w:firstLine="0"/>
        <w:rPr>
          <w:rFonts w:ascii="Arial" w:eastAsia="Calibri" w:hAnsi="Arial" w:cs="Arial"/>
          <w:spacing w:val="-1"/>
          <w:sz w:val="17"/>
          <w:szCs w:val="17"/>
        </w:rPr>
      </w:pPr>
      <w:r w:rsidRPr="00BA272D">
        <w:rPr>
          <w:rFonts w:ascii="Arial" w:eastAsia="Calibri" w:hAnsi="Arial" w:cs="Arial"/>
          <w:spacing w:val="-1"/>
          <w:sz w:val="17"/>
          <w:szCs w:val="17"/>
        </w:rPr>
        <w:t>Fuertes prácticas de gobierno y sólido desempeño financiero.</w:t>
      </w:r>
    </w:p>
    <w:p w:rsidR="0099467F" w:rsidRDefault="0099467F" w:rsidP="0099467F">
      <w:pPr>
        <w:spacing w:before="80" w:line="240" w:lineRule="exact"/>
        <w:ind w:left="851"/>
        <w:rPr>
          <w:rFonts w:ascii="Arial" w:eastAsia="Calibri" w:hAnsi="Arial" w:cs="Arial"/>
          <w:b/>
          <w:spacing w:val="-1"/>
          <w:sz w:val="17"/>
          <w:szCs w:val="17"/>
        </w:rPr>
      </w:pPr>
    </w:p>
    <w:p w:rsidR="00FE24F9" w:rsidRPr="0099467F" w:rsidRDefault="0099467F" w:rsidP="0099467F">
      <w:pPr>
        <w:spacing w:before="80" w:line="240" w:lineRule="exact"/>
        <w:ind w:left="851"/>
        <w:rPr>
          <w:rFonts w:ascii="Arial" w:eastAsia="Calibri" w:hAnsi="Arial" w:cs="Arial"/>
          <w:b/>
          <w:spacing w:val="-1"/>
          <w:sz w:val="17"/>
          <w:szCs w:val="17"/>
        </w:rPr>
      </w:pPr>
      <w:r>
        <w:rPr>
          <w:rFonts w:ascii="Arial" w:eastAsia="Calibri" w:hAnsi="Arial" w:cs="Arial"/>
          <w:b/>
          <w:spacing w:val="-1"/>
          <w:sz w:val="17"/>
          <w:szCs w:val="17"/>
        </w:rPr>
        <w:t>Retos Crediticios</w:t>
      </w:r>
    </w:p>
    <w:p w:rsidR="00F71E5C" w:rsidRPr="00BA272D" w:rsidRDefault="00F71E5C" w:rsidP="00D439E7">
      <w:pPr>
        <w:pStyle w:val="Prrafodelista"/>
        <w:numPr>
          <w:ilvl w:val="0"/>
          <w:numId w:val="28"/>
        </w:numPr>
        <w:spacing w:before="80" w:line="240" w:lineRule="exact"/>
        <w:ind w:left="851" w:firstLine="0"/>
        <w:jc w:val="both"/>
        <w:rPr>
          <w:rFonts w:ascii="Arial" w:eastAsia="Calibri" w:hAnsi="Arial" w:cs="Arial"/>
          <w:spacing w:val="-1"/>
          <w:sz w:val="17"/>
          <w:szCs w:val="17"/>
        </w:rPr>
      </w:pPr>
      <w:r w:rsidRPr="00BA272D">
        <w:rPr>
          <w:rFonts w:ascii="Arial" w:eastAsia="Calibri" w:hAnsi="Arial" w:cs="Arial"/>
          <w:spacing w:val="-1"/>
          <w:sz w:val="17"/>
          <w:szCs w:val="17"/>
        </w:rPr>
        <w:t>Deterioro en márgenes operativos.</w:t>
      </w:r>
    </w:p>
    <w:p w:rsidR="00F71E5C" w:rsidRPr="00BA272D" w:rsidRDefault="00F71E5C" w:rsidP="00D439E7">
      <w:pPr>
        <w:pStyle w:val="Prrafodelista"/>
        <w:numPr>
          <w:ilvl w:val="0"/>
          <w:numId w:val="28"/>
        </w:numPr>
        <w:spacing w:before="80" w:line="240" w:lineRule="exact"/>
        <w:ind w:left="851" w:firstLine="0"/>
        <w:jc w:val="both"/>
        <w:rPr>
          <w:rFonts w:ascii="Arial" w:eastAsia="Calibri" w:hAnsi="Arial" w:cs="Arial"/>
          <w:spacing w:val="-1"/>
          <w:sz w:val="17"/>
          <w:szCs w:val="17"/>
        </w:rPr>
      </w:pPr>
      <w:r w:rsidRPr="00BA272D">
        <w:rPr>
          <w:rFonts w:ascii="Arial" w:eastAsia="Calibri" w:hAnsi="Arial" w:cs="Arial"/>
          <w:spacing w:val="-1"/>
          <w:sz w:val="17"/>
          <w:szCs w:val="17"/>
        </w:rPr>
        <w:t>Elevado pasivo por pensiones aun cuando se han tomado medidas para controlarlo.</w:t>
      </w:r>
    </w:p>
    <w:p w:rsidR="00F71E5C" w:rsidRPr="00BA272D" w:rsidRDefault="00F71E5C" w:rsidP="00D439E7">
      <w:pPr>
        <w:spacing w:before="80" w:line="240" w:lineRule="exact"/>
        <w:ind w:left="851"/>
        <w:jc w:val="both"/>
        <w:rPr>
          <w:rFonts w:ascii="Arial" w:eastAsia="Calibri" w:hAnsi="Arial" w:cs="Arial"/>
          <w:b/>
          <w:spacing w:val="-1"/>
          <w:sz w:val="17"/>
          <w:szCs w:val="17"/>
        </w:rPr>
      </w:pPr>
    </w:p>
    <w:p w:rsidR="00F71E5C" w:rsidRPr="00BA272D" w:rsidRDefault="00F71E5C" w:rsidP="00D439E7">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Perspectiva de la Calificación</w:t>
      </w: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 perspectiva de las calificaciones del estado de Querétaro es negativa en línea con la perspectiva negativa del Gobierno de México (Baa1, negativa).</w:t>
      </w:r>
    </w:p>
    <w:p w:rsidR="00F71E5C" w:rsidRPr="00BA272D" w:rsidRDefault="00F71E5C" w:rsidP="00D439E7">
      <w:pPr>
        <w:spacing w:before="80" w:line="240" w:lineRule="exact"/>
        <w:ind w:left="851"/>
        <w:jc w:val="both"/>
        <w:rPr>
          <w:rFonts w:ascii="Arial" w:eastAsia="Calibri" w:hAnsi="Arial" w:cs="Arial"/>
          <w:spacing w:val="-1"/>
          <w:sz w:val="17"/>
          <w:szCs w:val="17"/>
        </w:rPr>
      </w:pPr>
    </w:p>
    <w:p w:rsidR="00F71E5C" w:rsidRPr="00BA272D" w:rsidRDefault="00F71E5C" w:rsidP="00D439E7">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Factores que Podrían Cambiar la Calificación al Alza</w:t>
      </w: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Debido a que la perspectiva es negativa, no esperamos un alza de la calificación en el mediano plazo. Sin embargo, si hay un cambio estructural a su sistema de pensiones que disminuya esta contingencia y si los indicadores de liquidez y financieros se mantienen en los niveles actuales podría haber presión al alza en las calificaciones en escala nacional.</w:t>
      </w:r>
      <w:r w:rsidRPr="00BA272D">
        <w:rPr>
          <w:rFonts w:ascii="Arial" w:eastAsia="Calibri" w:hAnsi="Arial" w:cs="Arial"/>
          <w:spacing w:val="-1"/>
          <w:sz w:val="17"/>
          <w:szCs w:val="17"/>
        </w:rPr>
        <w:cr/>
      </w:r>
    </w:p>
    <w:p w:rsidR="00F71E5C" w:rsidRPr="00BA272D" w:rsidRDefault="00F71E5C" w:rsidP="00D439E7">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Factores que Podrían Cambiar la Calificación a la Baja</w:t>
      </w: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Debido a que la perspectiva es negativa, una baja en la calificación podría darse en caso de una baja de la calificación del Gobierno de México. Adicionalmente, un cambio abrupto en la política financiera del estado que no permita mejorar los balances operativos y ocasione incrementos en los niveles de deuda o un deterioro sustancial de la liquidez podría ejercer presión a la baja en las calificaciones.</w:t>
      </w:r>
    </w:p>
    <w:p w:rsidR="00255B57" w:rsidRPr="00BA272D" w:rsidRDefault="00255B57" w:rsidP="00D439E7">
      <w:pPr>
        <w:spacing w:before="80" w:line="240" w:lineRule="exact"/>
        <w:ind w:left="851"/>
        <w:jc w:val="both"/>
        <w:rPr>
          <w:rFonts w:ascii="Arial" w:eastAsia="Calibri" w:hAnsi="Arial" w:cs="Arial"/>
          <w:spacing w:val="-1"/>
          <w:sz w:val="17"/>
          <w:szCs w:val="17"/>
        </w:rPr>
      </w:pPr>
    </w:p>
    <w:p w:rsidR="00F71E5C" w:rsidRPr="00BA272D" w:rsidRDefault="00F71E5C" w:rsidP="00D439E7">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Detalle de los Fundamentos Crediticios</w:t>
      </w: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 calificación asignada al estado de Querétaro combina 1) la evaluación del riesgo crediticio base (BCA por sus siglas en inglés) del estado de baa1 y 2) la baja probabilidad de apoyo extraordinario proveniente del Gobierno de México en caso que la entidad enfrente una aguda s</w:t>
      </w:r>
      <w:r w:rsidR="00FE24F9" w:rsidRPr="00BA272D">
        <w:rPr>
          <w:rFonts w:ascii="Arial" w:eastAsia="Calibri" w:hAnsi="Arial" w:cs="Arial"/>
          <w:spacing w:val="-1"/>
          <w:sz w:val="17"/>
          <w:szCs w:val="17"/>
        </w:rPr>
        <w:t>ituación de estrés de liquidez.</w:t>
      </w:r>
    </w:p>
    <w:p w:rsidR="00DE7D2C" w:rsidRDefault="00DE7D2C" w:rsidP="00D439E7">
      <w:pPr>
        <w:spacing w:before="80" w:line="240" w:lineRule="exact"/>
        <w:ind w:left="851"/>
        <w:jc w:val="both"/>
        <w:rPr>
          <w:rFonts w:ascii="Arial" w:eastAsia="Calibri" w:hAnsi="Arial" w:cs="Arial"/>
          <w:spacing w:val="-1"/>
          <w:sz w:val="17"/>
          <w:szCs w:val="17"/>
          <w:highlight w:val="yellow"/>
        </w:rPr>
      </w:pPr>
    </w:p>
    <w:p w:rsidR="0099467F" w:rsidRDefault="0099467F" w:rsidP="00D439E7">
      <w:pPr>
        <w:spacing w:before="80" w:line="240" w:lineRule="exact"/>
        <w:ind w:left="851"/>
        <w:jc w:val="both"/>
        <w:rPr>
          <w:rFonts w:ascii="Arial" w:eastAsia="Calibri" w:hAnsi="Arial" w:cs="Arial"/>
          <w:spacing w:val="-1"/>
          <w:sz w:val="17"/>
          <w:szCs w:val="17"/>
          <w:highlight w:val="yellow"/>
        </w:rPr>
      </w:pPr>
    </w:p>
    <w:p w:rsidR="0099467F" w:rsidRDefault="0099467F" w:rsidP="00D439E7">
      <w:pPr>
        <w:spacing w:before="80" w:line="240" w:lineRule="exact"/>
        <w:ind w:left="851"/>
        <w:jc w:val="both"/>
        <w:rPr>
          <w:rFonts w:ascii="Arial" w:eastAsia="Calibri" w:hAnsi="Arial" w:cs="Arial"/>
          <w:spacing w:val="-1"/>
          <w:sz w:val="17"/>
          <w:szCs w:val="17"/>
          <w:highlight w:val="yellow"/>
        </w:rPr>
      </w:pPr>
    </w:p>
    <w:p w:rsidR="0099467F" w:rsidRDefault="0099467F" w:rsidP="00D439E7">
      <w:pPr>
        <w:spacing w:before="80" w:line="240" w:lineRule="exact"/>
        <w:ind w:left="851"/>
        <w:jc w:val="both"/>
        <w:rPr>
          <w:rFonts w:ascii="Arial" w:eastAsia="Calibri" w:hAnsi="Arial" w:cs="Arial"/>
          <w:spacing w:val="-1"/>
          <w:sz w:val="17"/>
          <w:szCs w:val="17"/>
          <w:highlight w:val="yellow"/>
        </w:rPr>
      </w:pPr>
    </w:p>
    <w:p w:rsidR="0099467F" w:rsidRDefault="0099467F" w:rsidP="00D439E7">
      <w:pPr>
        <w:spacing w:before="80" w:line="240" w:lineRule="exact"/>
        <w:ind w:left="851"/>
        <w:jc w:val="both"/>
        <w:rPr>
          <w:rFonts w:ascii="Arial" w:eastAsia="Calibri" w:hAnsi="Arial" w:cs="Arial"/>
          <w:spacing w:val="-1"/>
          <w:sz w:val="17"/>
          <w:szCs w:val="17"/>
          <w:highlight w:val="yellow"/>
        </w:rPr>
      </w:pPr>
    </w:p>
    <w:p w:rsidR="0099467F" w:rsidRDefault="0099467F" w:rsidP="00D439E7">
      <w:pPr>
        <w:spacing w:before="80" w:line="240" w:lineRule="exact"/>
        <w:ind w:left="851"/>
        <w:jc w:val="both"/>
        <w:rPr>
          <w:rFonts w:ascii="Arial" w:eastAsia="Calibri" w:hAnsi="Arial" w:cs="Arial"/>
          <w:spacing w:val="-1"/>
          <w:sz w:val="17"/>
          <w:szCs w:val="17"/>
          <w:highlight w:val="yellow"/>
        </w:rPr>
      </w:pPr>
    </w:p>
    <w:p w:rsidR="00E35A50" w:rsidRPr="00BA272D" w:rsidRDefault="00E35A50" w:rsidP="00DD7A5F">
      <w:pPr>
        <w:spacing w:before="80" w:line="240" w:lineRule="exact"/>
        <w:jc w:val="both"/>
        <w:rPr>
          <w:rFonts w:ascii="Arial" w:eastAsia="Calibri" w:hAnsi="Arial" w:cs="Arial"/>
          <w:spacing w:val="-1"/>
          <w:sz w:val="17"/>
          <w:szCs w:val="17"/>
          <w:highlight w:val="yellow"/>
        </w:rPr>
      </w:pPr>
    </w:p>
    <w:p w:rsidR="00F71E5C" w:rsidRPr="00BA272D" w:rsidRDefault="00F71E5C" w:rsidP="00D439E7">
      <w:pPr>
        <w:pStyle w:val="Prrafodelista"/>
        <w:numPr>
          <w:ilvl w:val="0"/>
          <w:numId w:val="14"/>
        </w:numPr>
        <w:spacing w:before="80" w:line="240" w:lineRule="exact"/>
        <w:ind w:left="851"/>
        <w:jc w:val="both"/>
        <w:rPr>
          <w:rFonts w:ascii="Arial" w:eastAsia="Calibri" w:hAnsi="Arial" w:cs="Arial"/>
          <w:b/>
          <w:spacing w:val="-1"/>
          <w:sz w:val="17"/>
          <w:szCs w:val="17"/>
          <w:u w:val="single"/>
        </w:rPr>
      </w:pPr>
      <w:r w:rsidRPr="00BA272D">
        <w:rPr>
          <w:rFonts w:ascii="Arial" w:eastAsia="Calibri" w:hAnsi="Arial" w:cs="Arial"/>
          <w:b/>
          <w:spacing w:val="-1"/>
          <w:sz w:val="17"/>
          <w:szCs w:val="17"/>
          <w:u w:val="single"/>
        </w:rPr>
        <w:lastRenderedPageBreak/>
        <w:t xml:space="preserve">Opinión Crediticia emitida por Standard &amp; </w:t>
      </w:r>
      <w:proofErr w:type="spellStart"/>
      <w:r w:rsidRPr="00BA272D">
        <w:rPr>
          <w:rFonts w:ascii="Arial" w:eastAsia="Calibri" w:hAnsi="Arial" w:cs="Arial"/>
          <w:b/>
          <w:spacing w:val="-1"/>
          <w:sz w:val="17"/>
          <w:szCs w:val="17"/>
          <w:u w:val="single"/>
        </w:rPr>
        <w:t>Poor's</w:t>
      </w:r>
      <w:proofErr w:type="spellEnd"/>
      <w:r w:rsidRPr="00BA272D">
        <w:rPr>
          <w:rFonts w:ascii="Arial" w:eastAsia="Calibri" w:hAnsi="Arial" w:cs="Arial"/>
          <w:b/>
          <w:spacing w:val="-1"/>
          <w:sz w:val="17"/>
          <w:szCs w:val="17"/>
          <w:u w:val="single"/>
        </w:rPr>
        <w:t>:</w:t>
      </w:r>
    </w:p>
    <w:p w:rsidR="00F71E5C" w:rsidRPr="00BA272D" w:rsidRDefault="00F71E5C" w:rsidP="002948F8">
      <w:pPr>
        <w:pStyle w:val="Prrafodelista"/>
        <w:spacing w:before="80" w:line="240" w:lineRule="exact"/>
        <w:ind w:left="567"/>
        <w:jc w:val="both"/>
        <w:rPr>
          <w:rFonts w:ascii="Arial" w:eastAsia="Calibri" w:hAnsi="Arial" w:cs="Arial"/>
          <w:b/>
          <w:spacing w:val="-1"/>
          <w:sz w:val="17"/>
          <w:szCs w:val="17"/>
          <w:u w:val="single"/>
        </w:rPr>
      </w:pPr>
    </w:p>
    <w:p w:rsidR="007F754C" w:rsidRPr="00BA272D" w:rsidRDefault="007F754C" w:rsidP="00D439E7">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Resumen</w:t>
      </w:r>
    </w:p>
    <w:p w:rsidR="007F754C" w:rsidRPr="00BA272D" w:rsidRDefault="007F754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nuestra opinión, el Estado de Querétaro tendrá una rápida recuperación económica y una amplia continuidad en sus políticas financieras luego del cambio de administración.</w:t>
      </w:r>
    </w:p>
    <w:p w:rsidR="007F754C" w:rsidRPr="00BA272D" w:rsidRDefault="007F754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Los sólidos resultados fiscales han permitido al Estado acumular reservas de efectivo muy elevadas y pagar por adelantado la totalidad de su deuda.</w:t>
      </w:r>
    </w:p>
    <w:p w:rsidR="001F3801" w:rsidRDefault="007F754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Confirmamos nuestra calificación en escala global de 'BBB’ y en escala nacional de '</w:t>
      </w:r>
      <w:proofErr w:type="spellStart"/>
      <w:r w:rsidRPr="00BA272D">
        <w:rPr>
          <w:rFonts w:ascii="Arial" w:eastAsia="Calibri" w:hAnsi="Arial" w:cs="Arial"/>
          <w:spacing w:val="-1"/>
          <w:sz w:val="17"/>
          <w:szCs w:val="17"/>
        </w:rPr>
        <w:t>mxAA</w:t>
      </w:r>
      <w:proofErr w:type="spellEnd"/>
      <w:r w:rsidRPr="00BA272D">
        <w:rPr>
          <w:rFonts w:ascii="Arial" w:eastAsia="Calibri" w:hAnsi="Arial" w:cs="Arial"/>
          <w:spacing w:val="-1"/>
          <w:sz w:val="17"/>
          <w:szCs w:val="17"/>
        </w:rPr>
        <w:t xml:space="preserve">+' del Estado de Querétaro, y revisamos la perspectiva de la </w:t>
      </w:r>
    </w:p>
    <w:p w:rsidR="007F754C" w:rsidRPr="00BA272D" w:rsidRDefault="007F754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calificación en escala nacional a estable de negativa, y mantenemos la perspectiva negativa de la calificación en escala global.</w:t>
      </w:r>
    </w:p>
    <w:p w:rsidR="007F754C" w:rsidRPr="00BA272D" w:rsidRDefault="007F754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La perspectiva estable en escala nacional refleja nuestra expectativa de que continúe el historial de administración de liquidez muy prudente del Estado, al tiempo que la perspectiva negativa en escala global incorpora los riesgos derivados del soberano.</w:t>
      </w:r>
    </w:p>
    <w:p w:rsidR="00F71E5C" w:rsidRPr="00BA272D" w:rsidRDefault="007F754C" w:rsidP="00D439E7">
      <w:pPr>
        <w:spacing w:before="80" w:line="240" w:lineRule="exact"/>
        <w:ind w:left="851"/>
        <w:jc w:val="both"/>
        <w:rPr>
          <w:rFonts w:ascii="Arial" w:eastAsia="Calibri" w:hAnsi="Arial" w:cs="Arial"/>
          <w:i/>
          <w:spacing w:val="-1"/>
          <w:sz w:val="17"/>
          <w:szCs w:val="17"/>
          <w:highlight w:val="yellow"/>
        </w:rPr>
      </w:pPr>
      <w:r w:rsidRPr="00BA272D">
        <w:rPr>
          <w:rFonts w:ascii="Arial" w:eastAsia="Calibri" w:hAnsi="Arial" w:cs="Arial"/>
          <w:b/>
          <w:spacing w:val="-1"/>
          <w:sz w:val="17"/>
          <w:szCs w:val="17"/>
        </w:rPr>
        <w:t>Acción de Calificación</w:t>
      </w:r>
    </w:p>
    <w:p w:rsidR="00842F16" w:rsidRPr="00BA272D" w:rsidRDefault="00842F16"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El 23 de agosto de 2021, S&amp;P Global Ratings confirmó sus calificaciones crediticias de emisor en escala global de 'BBB' y en escala nacional –</w:t>
      </w:r>
      <w:proofErr w:type="spellStart"/>
      <w:r w:rsidRPr="00BA272D">
        <w:rPr>
          <w:rFonts w:ascii="Arial" w:eastAsia="Calibri" w:hAnsi="Arial" w:cs="Arial"/>
          <w:spacing w:val="-1"/>
          <w:sz w:val="17"/>
          <w:szCs w:val="17"/>
        </w:rPr>
        <w:t>CaVal</w:t>
      </w:r>
      <w:proofErr w:type="spellEnd"/>
      <w:r w:rsidRPr="00BA272D">
        <w:rPr>
          <w:rFonts w:ascii="Arial" w:eastAsia="Calibri" w:hAnsi="Arial" w:cs="Arial"/>
          <w:spacing w:val="-1"/>
          <w:sz w:val="17"/>
          <w:szCs w:val="17"/>
        </w:rPr>
        <w:t>– de '</w:t>
      </w:r>
      <w:proofErr w:type="spellStart"/>
      <w:r w:rsidRPr="00BA272D">
        <w:rPr>
          <w:rFonts w:ascii="Arial" w:eastAsia="Calibri" w:hAnsi="Arial" w:cs="Arial"/>
          <w:spacing w:val="-1"/>
          <w:sz w:val="17"/>
          <w:szCs w:val="17"/>
        </w:rPr>
        <w:t>mxAA</w:t>
      </w:r>
      <w:proofErr w:type="spellEnd"/>
      <w:r w:rsidRPr="00BA272D">
        <w:rPr>
          <w:rFonts w:ascii="Arial" w:eastAsia="Calibri" w:hAnsi="Arial" w:cs="Arial"/>
          <w:spacing w:val="-1"/>
          <w:sz w:val="17"/>
          <w:szCs w:val="17"/>
        </w:rPr>
        <w:t>+' del Estado de Querétaro, México.</w:t>
      </w:r>
    </w:p>
    <w:p w:rsidR="00842F16" w:rsidRPr="00BA272D" w:rsidRDefault="00842F16"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Revisamos la perspectiva de la calificación en escala nacional a estable de negativa, mientras la perspectiva de la calificación en escala global se mantiene negativa.</w:t>
      </w:r>
    </w:p>
    <w:p w:rsidR="00842F16" w:rsidRPr="00BA272D" w:rsidRDefault="00842F16" w:rsidP="002948F8">
      <w:pPr>
        <w:spacing w:before="80" w:line="240" w:lineRule="exact"/>
        <w:ind w:left="567"/>
        <w:jc w:val="both"/>
        <w:rPr>
          <w:rFonts w:ascii="Arial" w:eastAsia="Calibri" w:hAnsi="Arial" w:cs="Arial"/>
          <w:i/>
          <w:spacing w:val="-1"/>
          <w:sz w:val="17"/>
          <w:szCs w:val="17"/>
        </w:rPr>
      </w:pP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b/>
          <w:spacing w:val="-1"/>
          <w:sz w:val="17"/>
          <w:szCs w:val="17"/>
        </w:rPr>
        <w:t>Perspectiva</w:t>
      </w:r>
    </w:p>
    <w:p w:rsidR="00F71E5C" w:rsidRPr="00BA272D" w:rsidRDefault="00842F16"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La perspectiva negativa de la calificación en escala global indica que hay al menos una probabilidad entre tres de que bajemos nuestras calificaciones del Estado en los próximos 12 a 24 meses si bajamos la calificación soberana de México (moneda extranjera: BBB/Negativa/A-2; moneda local: BBB+/Negativa/A-2). En nuestra opinión, la alta dependencia de las transferencias federales de los gobiernos locales y regionales (GLR) y su limitada flexibilidad financiera, no nos permite calificarlos por encima del soberano. Por otro lado, la perspectiva estable de la calificación en escala nacional refleja las políticas financieras, de deuda y de liquidez </w:t>
      </w:r>
      <w:r w:rsidR="00115ED0" w:rsidRPr="00BA272D">
        <w:rPr>
          <w:rFonts w:ascii="Arial" w:eastAsia="Calibri" w:hAnsi="Arial" w:cs="Arial"/>
          <w:spacing w:val="-1"/>
          <w:sz w:val="17"/>
          <w:szCs w:val="17"/>
        </w:rPr>
        <w:t>consolidada y prudente</w:t>
      </w:r>
      <w:r w:rsidRPr="00BA272D">
        <w:rPr>
          <w:rFonts w:ascii="Arial" w:eastAsia="Calibri" w:hAnsi="Arial" w:cs="Arial"/>
          <w:spacing w:val="-1"/>
          <w:sz w:val="17"/>
          <w:szCs w:val="17"/>
        </w:rPr>
        <w:t xml:space="preserve"> del Estado (particularmente durante 2020-2021 a pesar de la pandemia) y esperamos que así continúe en los próximos tres años.</w:t>
      </w:r>
    </w:p>
    <w:p w:rsidR="00F71E5C" w:rsidRPr="00BA272D" w:rsidRDefault="00F71E5C" w:rsidP="00D439E7">
      <w:pPr>
        <w:spacing w:before="80" w:line="240" w:lineRule="exact"/>
        <w:ind w:left="851"/>
        <w:jc w:val="both"/>
        <w:rPr>
          <w:rFonts w:ascii="Arial" w:eastAsia="Calibri" w:hAnsi="Arial" w:cs="Arial"/>
          <w:i/>
          <w:spacing w:val="-1"/>
          <w:sz w:val="17"/>
          <w:szCs w:val="17"/>
        </w:rPr>
      </w:pP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i/>
          <w:spacing w:val="-1"/>
          <w:sz w:val="17"/>
          <w:szCs w:val="17"/>
        </w:rPr>
        <w:t>Escenario negativo</w:t>
      </w:r>
    </w:p>
    <w:p w:rsidR="00F71E5C" w:rsidRPr="00BA272D" w:rsidRDefault="00842F16"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Podríamos bajar nuestras calificaciones de Querétaro en los próximos 12 a 24 meses si bajamos las del soberano. También podríamos bajar las calificaciones si el marco institucional de los estados mexicanos se debilita, con transferencias federales más inciertas que limiten adicionalmente la flexibilidad fiscal del Estado. Podríamos bajar nuestras calificaciones en escala nacional si observáramos un deterioro sustancial en las cautelosas políticas fiscales de la administración, lo que podría dañar su desempeño fiscal, liquidez y niveles de deuda.</w:t>
      </w:r>
    </w:p>
    <w:p w:rsidR="00F71E5C" w:rsidRDefault="00F71E5C" w:rsidP="00D439E7">
      <w:pPr>
        <w:spacing w:before="80" w:line="240" w:lineRule="exact"/>
        <w:ind w:left="851"/>
        <w:jc w:val="both"/>
        <w:rPr>
          <w:rFonts w:ascii="Arial" w:eastAsia="Calibri" w:hAnsi="Arial" w:cs="Arial"/>
          <w:i/>
          <w:spacing w:val="-1"/>
          <w:sz w:val="17"/>
          <w:szCs w:val="17"/>
        </w:rPr>
      </w:pPr>
    </w:p>
    <w:p w:rsidR="001F3801" w:rsidRDefault="001F3801" w:rsidP="00D439E7">
      <w:pPr>
        <w:spacing w:before="80" w:line="240" w:lineRule="exact"/>
        <w:ind w:left="851"/>
        <w:jc w:val="both"/>
        <w:rPr>
          <w:rFonts w:ascii="Arial" w:eastAsia="Calibri" w:hAnsi="Arial" w:cs="Arial"/>
          <w:i/>
          <w:spacing w:val="-1"/>
          <w:sz w:val="17"/>
          <w:szCs w:val="17"/>
        </w:rPr>
      </w:pPr>
    </w:p>
    <w:p w:rsidR="001F3801" w:rsidRDefault="001F3801" w:rsidP="00D439E7">
      <w:pPr>
        <w:spacing w:before="80" w:line="240" w:lineRule="exact"/>
        <w:ind w:left="851"/>
        <w:jc w:val="both"/>
        <w:rPr>
          <w:rFonts w:ascii="Arial" w:eastAsia="Calibri" w:hAnsi="Arial" w:cs="Arial"/>
          <w:i/>
          <w:spacing w:val="-1"/>
          <w:sz w:val="17"/>
          <w:szCs w:val="17"/>
        </w:rPr>
      </w:pPr>
    </w:p>
    <w:p w:rsidR="001F3801" w:rsidRDefault="001F3801" w:rsidP="00D439E7">
      <w:pPr>
        <w:spacing w:before="80" w:line="240" w:lineRule="exact"/>
        <w:ind w:left="851"/>
        <w:jc w:val="both"/>
        <w:rPr>
          <w:rFonts w:ascii="Arial" w:eastAsia="Calibri" w:hAnsi="Arial" w:cs="Arial"/>
          <w:i/>
          <w:spacing w:val="-1"/>
          <w:sz w:val="17"/>
          <w:szCs w:val="17"/>
        </w:rPr>
      </w:pPr>
    </w:p>
    <w:p w:rsidR="001F3801" w:rsidRPr="00BA272D" w:rsidRDefault="001F3801" w:rsidP="00D439E7">
      <w:pPr>
        <w:spacing w:before="80" w:line="240" w:lineRule="exact"/>
        <w:ind w:left="851"/>
        <w:jc w:val="both"/>
        <w:rPr>
          <w:rFonts w:ascii="Arial" w:eastAsia="Calibri" w:hAnsi="Arial" w:cs="Arial"/>
          <w:i/>
          <w:spacing w:val="-1"/>
          <w:sz w:val="17"/>
          <w:szCs w:val="17"/>
        </w:rPr>
      </w:pPr>
    </w:p>
    <w:p w:rsidR="00F71E5C" w:rsidRPr="00BA272D" w:rsidRDefault="00F71E5C"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i/>
          <w:spacing w:val="-1"/>
          <w:sz w:val="17"/>
          <w:szCs w:val="17"/>
        </w:rPr>
        <w:lastRenderedPageBreak/>
        <w:t>Escenario positivo</w:t>
      </w:r>
    </w:p>
    <w:p w:rsidR="00F71E5C" w:rsidRPr="00BA272D" w:rsidRDefault="00842F16"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Podríamos revisar la perspectiva de la calificación en escala global a estable en los siguientes 12 a 24 meses si realizamos una acción similar sobre el soberano. Podríamos subir la calificación en escala nacional si el Estado de Querétaro mostrara una resiliencia económica y fiscal más fuerte que la del soberano.</w:t>
      </w:r>
    </w:p>
    <w:p w:rsidR="00F71E5C" w:rsidRPr="00BA272D" w:rsidRDefault="00F71E5C" w:rsidP="00D439E7">
      <w:pPr>
        <w:spacing w:before="80" w:line="240" w:lineRule="exact"/>
        <w:ind w:left="851"/>
        <w:jc w:val="both"/>
        <w:rPr>
          <w:rFonts w:ascii="Arial" w:eastAsia="Calibri" w:hAnsi="Arial" w:cs="Arial"/>
          <w:b/>
          <w:spacing w:val="-1"/>
          <w:sz w:val="17"/>
          <w:szCs w:val="17"/>
        </w:rPr>
      </w:pPr>
    </w:p>
    <w:p w:rsidR="004E6BEF" w:rsidRPr="004E6BEF" w:rsidRDefault="00F71E5C" w:rsidP="004E6BEF">
      <w:p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Fundamento</w:t>
      </w:r>
    </w:p>
    <w:p w:rsidR="00842F16" w:rsidRPr="00BA272D" w:rsidRDefault="00842F16" w:rsidP="00D439E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Nuestras calificaciones en escala global de 'BBB' y en escala nacional de '</w:t>
      </w:r>
      <w:proofErr w:type="spellStart"/>
      <w:r w:rsidRPr="00BA272D">
        <w:rPr>
          <w:rFonts w:ascii="Arial" w:eastAsia="Calibri" w:hAnsi="Arial" w:cs="Arial"/>
          <w:spacing w:val="-1"/>
          <w:sz w:val="17"/>
          <w:szCs w:val="17"/>
        </w:rPr>
        <w:t>mxAA</w:t>
      </w:r>
      <w:proofErr w:type="spellEnd"/>
      <w:r w:rsidRPr="00BA272D">
        <w:rPr>
          <w:rFonts w:ascii="Arial" w:eastAsia="Calibri" w:hAnsi="Arial" w:cs="Arial"/>
          <w:spacing w:val="-1"/>
          <w:sz w:val="17"/>
          <w:szCs w:val="17"/>
        </w:rPr>
        <w:t>+' reflejan nuestra opinión sobre la gestión financiera prudente del Estado. A pesar de un fuerte choque económico, el sólido desempeño fiscal ha permitido al Estado acumular reservas de efectivo muy elevadas y pagar la totalidad de su deuda por anticipado. Sin embargo, el marco institucional cambiante y desequilibrado bajo el cual operan los estados mexicanos y los riesgos derivados de la calidad crediticia del soberano continúan pesando en nuestras calificaciones.</w:t>
      </w:r>
    </w:p>
    <w:p w:rsidR="00842F16" w:rsidRPr="00BA272D" w:rsidRDefault="00842F16" w:rsidP="00D439E7">
      <w:pPr>
        <w:spacing w:before="80" w:line="240" w:lineRule="exact"/>
        <w:ind w:left="851"/>
        <w:jc w:val="both"/>
        <w:rPr>
          <w:rFonts w:ascii="Arial" w:eastAsia="Calibri" w:hAnsi="Arial" w:cs="Arial"/>
          <w:spacing w:val="-1"/>
          <w:sz w:val="17"/>
          <w:szCs w:val="17"/>
        </w:rPr>
      </w:pPr>
    </w:p>
    <w:p w:rsidR="00842F16" w:rsidRPr="00BA272D" w:rsidRDefault="00842F16" w:rsidP="00D439E7">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 xml:space="preserve">Una economía en crecimiento y una gestión financiera muy prudente mitigan las debilidades del marco institucional </w:t>
      </w:r>
    </w:p>
    <w:p w:rsidR="00842F16" w:rsidRPr="00BA272D" w:rsidRDefault="00842F16" w:rsidP="000540C6">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Esperamos que la </w:t>
      </w:r>
      <w:proofErr w:type="spellStart"/>
      <w:r w:rsidRPr="00BA272D">
        <w:rPr>
          <w:rFonts w:ascii="Arial" w:eastAsia="Calibri" w:hAnsi="Arial" w:cs="Arial"/>
          <w:spacing w:val="-1"/>
          <w:sz w:val="17"/>
          <w:szCs w:val="17"/>
        </w:rPr>
        <w:t>resiliente</w:t>
      </w:r>
      <w:proofErr w:type="spellEnd"/>
      <w:r w:rsidRPr="00BA272D">
        <w:rPr>
          <w:rFonts w:ascii="Arial" w:eastAsia="Calibri" w:hAnsi="Arial" w:cs="Arial"/>
          <w:spacing w:val="-1"/>
          <w:sz w:val="17"/>
          <w:szCs w:val="17"/>
        </w:rPr>
        <w:t xml:space="preserve"> economía de Querétaro se recupere más rápidamente que el promedio nacional, a pesar del severo impacto de la pandemia de COVID-19 y los riesgos latentes de nuevos cierres potenciales. Por ejemplo, el empleo formal en el Estado ya se ha recuperado a su nivel anterior a la pandemia, lo que lo coloca en un mejor lugar frente a otros estados de México. Este es el resultado de un enfoque estratégico sostenido a través del cual el Estado estableció un modelo de crecimiento exitoso para fomentar la inversión privada, atraer flujos de inversión extranjera directa y diversificarse en sectores de alto crecimiento como comunicaciones, tecnología de la información y servicios relacionados.</w:t>
      </w:r>
    </w:p>
    <w:p w:rsidR="00F71E5C" w:rsidRPr="00BA272D" w:rsidRDefault="00842F16" w:rsidP="000540C6">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Las nuevas oportunidades de inversión son un buen augurio para las expectativas económicas de Querétaro en los próximos años. Además de la industria manufacturera, el Estado también está atrayendo importantes inversiones en el sector de tecnología de la información y las comunicaciones. Por ejemplo, está expandiendo su red de centros de datos, aprovechando su infraestructura moderna y capital humano. Las oportunidades derivadas del Tratado entre México, Estados Unidos y Canadá (T-MEC) también podrían permitir nuevas inversiones en Querétaro y la región del Bajío en el mediano plazo. Por ello, esperamos que la economía del Estado se desempeñe mejor que el promedio nacional, a pesar de la menor confianza general del sector privado en México. Estimamos el producto interno bruto (PIB) per cápita del Estado en alrededor de US$9,500 en 2020, por encima del promedio nacional de alrededor de US$8,300.</w:t>
      </w:r>
    </w:p>
    <w:p w:rsidR="00842F16" w:rsidRDefault="00842F16" w:rsidP="000540C6">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Prevemos una transición política fluida después de las elecciones de junio pasado para el gobernador y los alcaldes de todo el Estado, y una amplia continuidad en las políticas financieras cautelosas, reflejadas en el prepago de deuda, mantenimiento de una liquidez alta y reducción de la deuda con los proveedores. El Partido Acción Nacional (PAN) logró sólidos resultados electorales tanto a nivel estatal como municipal, y Mauricio Kuri asumirá la gubernatura en octubre. Esperamos continuidad en políticas financieras sólidas porque el equipo técnico de la administración tiene un historial establecido de prudencia fiscal. La administración financiera de Querétaro ha podido identificar rápidamente el gasto excesivo y aplicar medidas eficientes de generación de ingresos y reasignación de gastos. Al mismo tiempo, ha mostrado voluntad para abordar cuestiones estructurales complejas como la carga por las pensiones con la aprobación de una reforma en 2015.</w:t>
      </w:r>
    </w:p>
    <w:p w:rsidR="004E6BEF" w:rsidRDefault="004E6BEF" w:rsidP="000540C6">
      <w:pPr>
        <w:spacing w:before="80" w:line="240" w:lineRule="exact"/>
        <w:ind w:left="851"/>
        <w:jc w:val="both"/>
        <w:rPr>
          <w:rFonts w:ascii="Arial" w:eastAsia="Calibri" w:hAnsi="Arial" w:cs="Arial"/>
          <w:spacing w:val="-1"/>
          <w:sz w:val="17"/>
          <w:szCs w:val="17"/>
        </w:rPr>
      </w:pPr>
    </w:p>
    <w:p w:rsidR="004E6BEF" w:rsidRDefault="004E6BEF" w:rsidP="000540C6">
      <w:pPr>
        <w:spacing w:before="80" w:line="240" w:lineRule="exact"/>
        <w:ind w:left="851"/>
        <w:jc w:val="both"/>
        <w:rPr>
          <w:rFonts w:ascii="Arial" w:eastAsia="Calibri" w:hAnsi="Arial" w:cs="Arial"/>
          <w:spacing w:val="-1"/>
          <w:sz w:val="17"/>
          <w:szCs w:val="17"/>
        </w:rPr>
      </w:pPr>
    </w:p>
    <w:p w:rsidR="004E6BEF" w:rsidRDefault="004E6BEF" w:rsidP="000540C6">
      <w:pPr>
        <w:spacing w:before="80" w:line="240" w:lineRule="exact"/>
        <w:ind w:left="851"/>
        <w:jc w:val="both"/>
        <w:rPr>
          <w:rFonts w:ascii="Arial" w:eastAsia="Calibri" w:hAnsi="Arial" w:cs="Arial"/>
          <w:spacing w:val="-1"/>
          <w:sz w:val="17"/>
          <w:szCs w:val="17"/>
        </w:rPr>
      </w:pPr>
    </w:p>
    <w:p w:rsidR="004E6BEF" w:rsidRPr="00BA272D" w:rsidRDefault="004E6BEF" w:rsidP="000540C6">
      <w:pPr>
        <w:spacing w:before="80" w:line="240" w:lineRule="exact"/>
        <w:ind w:left="851"/>
        <w:jc w:val="both"/>
        <w:rPr>
          <w:rFonts w:ascii="Arial" w:eastAsia="Calibri" w:hAnsi="Arial" w:cs="Arial"/>
          <w:spacing w:val="-1"/>
          <w:sz w:val="17"/>
          <w:szCs w:val="17"/>
        </w:rPr>
      </w:pPr>
    </w:p>
    <w:p w:rsidR="00842F16" w:rsidRPr="00BA272D" w:rsidRDefault="00842F16" w:rsidP="000540C6">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lastRenderedPageBreak/>
        <w:t>Al igual que el resto de los estados mexicanos, Querétaro opera bajo un marco institucional que consideramos como en evolución y desbalanceado con una tendencia al debilitamiento. Si bien el sistema ha mejorado los resultados fiscales y la transparencia en el pasado, consideramos que las transferencias federales más bajas o inciertas podrían afectar las finanzas de los estados mexicanos en 2021-2023, especialmente dadas sus restricciones de flexibilidad de ingresos. El magro apoyo fiscal del gobierno federal en respuesta al impacto combinado de la pandemia de COVID-19 y los menores ingresos petroleros han generado incertidumbre sobre la capacidad de los estados para abordar las presiones fiscales en los próximos dos años, lo que se refleja en un marco i</w:t>
      </w:r>
      <w:r w:rsidR="00FE24F9" w:rsidRPr="00BA272D">
        <w:rPr>
          <w:rFonts w:ascii="Arial" w:eastAsia="Calibri" w:hAnsi="Arial" w:cs="Arial"/>
          <w:spacing w:val="-1"/>
          <w:sz w:val="17"/>
          <w:szCs w:val="17"/>
        </w:rPr>
        <w:t>nstitucional debilitado.</w:t>
      </w:r>
    </w:p>
    <w:p w:rsidR="00842F16" w:rsidRPr="00BA272D" w:rsidRDefault="00842F16" w:rsidP="000540C6">
      <w:pPr>
        <w:spacing w:before="80" w:line="240" w:lineRule="exact"/>
        <w:ind w:left="851"/>
        <w:jc w:val="both"/>
        <w:rPr>
          <w:rFonts w:ascii="Arial" w:eastAsia="Calibri" w:hAnsi="Arial" w:cs="Arial"/>
          <w:i/>
          <w:spacing w:val="-1"/>
          <w:sz w:val="17"/>
          <w:szCs w:val="17"/>
        </w:rPr>
      </w:pPr>
      <w:r w:rsidRPr="00BA272D">
        <w:rPr>
          <w:rFonts w:ascii="Arial" w:eastAsia="Calibri" w:hAnsi="Arial" w:cs="Arial"/>
          <w:i/>
          <w:spacing w:val="-1"/>
          <w:sz w:val="17"/>
          <w:szCs w:val="17"/>
        </w:rPr>
        <w:t>Los sólidos resultados fiscales han llevado a una acumulación de efectivo muy alta y a que el Estado pague el total de la deuda por adelantado</w:t>
      </w:r>
    </w:p>
    <w:p w:rsidR="00842F16" w:rsidRPr="00BA272D" w:rsidRDefault="00842F16" w:rsidP="000540C6">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Las prudentes políticas financieras de Querétaro han proporcionado suficiente protección para contener las presiones fiscales producidas por la pandemia, con lo que registró superávits operativos mejores de lo esperado en 2020 y a la primera mitad de 2021. Prevemos que su desempeño presupuestal mejorará gradualmente a medida que la economía se recupere. En medio de la pandemia, el Estado proporcionó medidas de desgravación fiscal y financió el gasto social mediante reasignaciones presupuestarias. Por ejemplo, construyó un hospital dedicado principalmente al tratamiento de COVID-19 que fue financiado conjuntamente por el gobierno estatal y federal. Proyectamos que Querétaro tendrá un superávit operativo sólido en los próximos tres años de alrededor del 11% de los ingresos operativos, explicado en parte por una sólida recaudación de ingresos propios en comparación con otros estados mexicanos.</w:t>
      </w:r>
    </w:p>
    <w:p w:rsidR="00842F16" w:rsidRPr="00BA272D" w:rsidRDefault="00842F16" w:rsidP="000540C6">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Sin embargo, consideramos que Querétaro afronta restricciones presupuestarias dado que más del 80% de sus ingresos son transferencias federales, aunque es algo menos dependiente de estas que los estados mexicanos con calificaciones más bajas. Esta confianza quedó ilustrada por el hecho de que los gastos extraordinarios relacionados con la pandemia en 2020 se cubrieron parcialmente por un fondo federal de estabilización (FEIEF), que compensó los déficits de ingresos de aproximadamente el 3.5% de los ingresos operativos. Proyectamos una posible volatilidad derivada de las transferencias del gobierno federal, particularmente en lo que respecta a los fondos para fines específicos que el gobierno federal está desmantelando actualmente. Sin embargo, Querétaro ha implementado medidas para aumentar sus ingresos tributarios y ha identificado gastos excesivos para mantener bajo control su desempeño fiscal.</w:t>
      </w:r>
    </w:p>
    <w:p w:rsidR="00842F16" w:rsidRPr="00BA272D" w:rsidRDefault="00842F16"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Consideramos que la reforma de pensiones que Querétaro aprobó en 2015 estabilizó los costos de las pensiones incluso sin haber implementado contribuciones del empleado o empleador. Los costos relacionados con las pensiones representan actualmente alrededor del 1.8% del presupuesto del Estado anualmente y se mantendrán estables durante los próximos años.</w:t>
      </w:r>
    </w:p>
    <w:p w:rsidR="00842F16" w:rsidRPr="00BA272D" w:rsidRDefault="00842F16"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En términos de gastos de capital (</w:t>
      </w:r>
      <w:proofErr w:type="spellStart"/>
      <w:r w:rsidRPr="00BA272D">
        <w:rPr>
          <w:rFonts w:ascii="Arial" w:eastAsia="Calibri" w:hAnsi="Arial" w:cs="Arial"/>
          <w:spacing w:val="-1"/>
          <w:sz w:val="17"/>
          <w:szCs w:val="17"/>
        </w:rPr>
        <w:t>capex</w:t>
      </w:r>
      <w:proofErr w:type="spellEnd"/>
      <w:r w:rsidRPr="00BA272D">
        <w:rPr>
          <w:rFonts w:ascii="Arial" w:eastAsia="Calibri" w:hAnsi="Arial" w:cs="Arial"/>
          <w:spacing w:val="-1"/>
          <w:sz w:val="17"/>
          <w:szCs w:val="17"/>
        </w:rPr>
        <w:t>), esperamos que la administración entrante continúe ejecutando obras de infraestructura, ya sea directamente por el Estado, a través de entidades descentralizadas o a través de los municipios. Nuestro escenario base considera el supuesto de que las obras públicas totales se mantendrían alrededor de MXN5</w:t>
      </w:r>
      <w:r w:rsidR="00115ED0" w:rsidRPr="00BA272D">
        <w:rPr>
          <w:rFonts w:ascii="Arial" w:eastAsia="Calibri" w:hAnsi="Arial" w:cs="Arial"/>
          <w:spacing w:val="-1"/>
          <w:sz w:val="17"/>
          <w:szCs w:val="17"/>
        </w:rPr>
        <w:t>, 000</w:t>
      </w:r>
      <w:r w:rsidRPr="00BA272D">
        <w:rPr>
          <w:rFonts w:ascii="Arial" w:eastAsia="Calibri" w:hAnsi="Arial" w:cs="Arial"/>
          <w:spacing w:val="-1"/>
          <w:sz w:val="17"/>
          <w:szCs w:val="17"/>
        </w:rPr>
        <w:t xml:space="preserve"> millones anuales, principalmente relacionadas con carreteras, transporte público, atención médica e infraestructura educativa. Utilizando estos supuestos, estimamos que los déficits después de gasto de inversión serán de aproximadamente el 2.3% de los ingresos totales para los próximos tres años.</w:t>
      </w:r>
    </w:p>
    <w:p w:rsidR="00842F16" w:rsidRPr="00BA272D" w:rsidRDefault="00842F16"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Dados sus resultados fiscales históricamente sólidos, Querétaro ha acumulado reservas de efectivo muy altas y canceló su deuda anticipadamente. Las reservas de efectivo equivalen a más del 12% de los ingresos operativos del Estado y esperamos que use estos fondos gradualmente para financiar proyectos de infraestructura y como ahorros preventivos contra posibles shocks adicionales. En nuestra opinión, el acceso de Querétaro a la liquidez externa es satisfactorio, debido al potencialmente amplio grupo de bancos locales a los que podría recurrir en caso de ser necesario.</w:t>
      </w:r>
    </w:p>
    <w:p w:rsidR="00842F16" w:rsidRPr="00BA272D" w:rsidRDefault="00842F16"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La administración saliente había estado </w:t>
      </w:r>
      <w:proofErr w:type="spellStart"/>
      <w:r w:rsidRPr="00BA272D">
        <w:rPr>
          <w:rFonts w:ascii="Arial" w:eastAsia="Calibri" w:hAnsi="Arial" w:cs="Arial"/>
          <w:spacing w:val="-1"/>
          <w:sz w:val="17"/>
          <w:szCs w:val="17"/>
        </w:rPr>
        <w:t>prepagando</w:t>
      </w:r>
      <w:proofErr w:type="spellEnd"/>
      <w:r w:rsidRPr="00BA272D">
        <w:rPr>
          <w:rFonts w:ascii="Arial" w:eastAsia="Calibri" w:hAnsi="Arial" w:cs="Arial"/>
          <w:spacing w:val="-1"/>
          <w:sz w:val="17"/>
          <w:szCs w:val="17"/>
        </w:rPr>
        <w:t xml:space="preserve"> su deuda por adelantado durante los últimos años y liquidó por completo, en junio de 2021, su único préstamo a largo plazo pendiente.</w:t>
      </w:r>
    </w:p>
    <w:p w:rsidR="00DE7D2C" w:rsidRPr="00BA272D" w:rsidRDefault="00842F16"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Querétaro es ahora uno de los únicos dos estados de México que tiene cero deuda. Nuestro escenario base no incluye ninguna deuda nueva en los próximos tres años.</w:t>
      </w:r>
    </w:p>
    <w:p w:rsidR="00FE24F9" w:rsidRDefault="00FE24F9" w:rsidP="00584A87">
      <w:pPr>
        <w:spacing w:before="80" w:line="240" w:lineRule="exact"/>
        <w:ind w:left="851"/>
        <w:jc w:val="both"/>
        <w:rPr>
          <w:rFonts w:ascii="Arial" w:eastAsia="Calibri" w:hAnsi="Arial" w:cs="Arial"/>
          <w:spacing w:val="-1"/>
          <w:sz w:val="17"/>
          <w:szCs w:val="17"/>
        </w:rPr>
      </w:pPr>
    </w:p>
    <w:p w:rsidR="004E6BEF" w:rsidRPr="00BA272D" w:rsidRDefault="004E6BEF" w:rsidP="00584A87">
      <w:pPr>
        <w:spacing w:before="80" w:line="240" w:lineRule="exact"/>
        <w:ind w:left="851"/>
        <w:jc w:val="both"/>
        <w:rPr>
          <w:rFonts w:ascii="Arial" w:eastAsia="Calibri" w:hAnsi="Arial" w:cs="Arial"/>
          <w:spacing w:val="-1"/>
          <w:sz w:val="17"/>
          <w:szCs w:val="17"/>
        </w:rPr>
      </w:pPr>
    </w:p>
    <w:p w:rsidR="00F71E5C" w:rsidRPr="00BA272D" w:rsidRDefault="00F71E5C" w:rsidP="00584A87">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lastRenderedPageBreak/>
        <w:t>Proceso de Mejora</w:t>
      </w:r>
    </w:p>
    <w:p w:rsidR="00FE24F9" w:rsidRPr="00BA272D" w:rsidRDefault="00FE24F9" w:rsidP="00584A87">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Durante el periodo que se informa, se atendieron diversas observaciones y recomendaciones emitidas por parte de entidades fiscalizadoras, lo que ha dado como resultado, una mejora en los procesos de control interno, alguna de ellas se han plasmado en diversos instrumentos administrativos, como en Manuales de Procedimientos, y en el Manual de Contabilidad Gubernamental del Poder Ejecutivo del Estado de Querétaro, con el fin de alcanzar un mejor desempeño y trasparencia en las actividades gubernamentales.</w:t>
      </w:r>
    </w:p>
    <w:p w:rsidR="00F71E5C" w:rsidRPr="00BA272D" w:rsidRDefault="00F71E5C"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La cuenta de Otros Activos no Circulantes se mantiene en un proceso continuo de revisión y depuración.</w:t>
      </w:r>
    </w:p>
    <w:p w:rsidR="00F71E5C" w:rsidRPr="00BA272D" w:rsidRDefault="00F71E5C"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Adicionalmente, se continúa llevando a cabo una revisión profunda a la base de datos a efecto de analizar y determinar áreas de oportunidad y mejoras.</w:t>
      </w:r>
    </w:p>
    <w:p w:rsidR="00F71E5C" w:rsidRPr="00BA272D" w:rsidRDefault="00F71E5C" w:rsidP="00584A87">
      <w:pPr>
        <w:spacing w:before="80" w:line="240" w:lineRule="exact"/>
        <w:ind w:left="851"/>
        <w:jc w:val="both"/>
        <w:rPr>
          <w:rFonts w:ascii="Arial" w:eastAsia="Calibri" w:hAnsi="Arial" w:cs="Arial"/>
          <w:spacing w:val="-1"/>
          <w:sz w:val="17"/>
          <w:szCs w:val="17"/>
        </w:rPr>
      </w:pPr>
    </w:p>
    <w:p w:rsidR="00F71E5C" w:rsidRPr="00BA272D" w:rsidRDefault="00F71E5C" w:rsidP="00584A87">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t>Información por Segmentos</w:t>
      </w:r>
    </w:p>
    <w:p w:rsidR="00FE24F9" w:rsidRPr="00BA272D" w:rsidRDefault="00FE24F9" w:rsidP="00584A87">
      <w:pPr>
        <w:pStyle w:val="Prrafodelista"/>
        <w:spacing w:before="80" w:line="240" w:lineRule="exact"/>
        <w:ind w:left="851"/>
        <w:jc w:val="both"/>
        <w:rPr>
          <w:rFonts w:ascii="Arial" w:eastAsia="Calibri" w:hAnsi="Arial" w:cs="Arial"/>
          <w:b/>
          <w:spacing w:val="-1"/>
          <w:sz w:val="17"/>
          <w:szCs w:val="17"/>
        </w:rPr>
      </w:pPr>
    </w:p>
    <w:p w:rsidR="00255B57" w:rsidRPr="00BA272D" w:rsidRDefault="00F71E5C"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Para el periodo que se reporta, no existe información referente a segmentos por revelar.</w:t>
      </w:r>
    </w:p>
    <w:p w:rsidR="00F71E5C" w:rsidRPr="00BA272D" w:rsidRDefault="00F71E5C" w:rsidP="00584A87">
      <w:pPr>
        <w:spacing w:before="80" w:line="240" w:lineRule="exact"/>
        <w:ind w:left="851"/>
        <w:jc w:val="both"/>
        <w:rPr>
          <w:rFonts w:ascii="Arial" w:eastAsia="Calibri" w:hAnsi="Arial" w:cs="Arial"/>
          <w:spacing w:val="-1"/>
          <w:sz w:val="17"/>
          <w:szCs w:val="17"/>
        </w:rPr>
      </w:pPr>
    </w:p>
    <w:p w:rsidR="00F71E5C" w:rsidRPr="00BA272D" w:rsidRDefault="00F71E5C" w:rsidP="00584A87">
      <w:pPr>
        <w:pStyle w:val="Prrafodelista"/>
        <w:numPr>
          <w:ilvl w:val="0"/>
          <w:numId w:val="11"/>
        </w:numPr>
        <w:spacing w:before="80" w:line="240" w:lineRule="exact"/>
        <w:ind w:left="851" w:firstLine="0"/>
        <w:jc w:val="both"/>
        <w:rPr>
          <w:rFonts w:ascii="Arial" w:eastAsia="Calibri" w:hAnsi="Arial" w:cs="Arial"/>
          <w:b/>
          <w:spacing w:val="-1"/>
          <w:sz w:val="17"/>
          <w:szCs w:val="17"/>
        </w:rPr>
      </w:pPr>
      <w:r w:rsidRPr="00BA272D">
        <w:rPr>
          <w:rFonts w:ascii="Arial" w:eastAsia="Calibri" w:hAnsi="Arial" w:cs="Arial"/>
          <w:b/>
          <w:spacing w:val="-1"/>
          <w:sz w:val="17"/>
          <w:szCs w:val="17"/>
        </w:rPr>
        <w:t>Eventos Posteriores al Cierre</w:t>
      </w:r>
    </w:p>
    <w:p w:rsidR="00FE24F9" w:rsidRPr="00BA272D" w:rsidRDefault="00FE24F9" w:rsidP="00584A87">
      <w:pPr>
        <w:pStyle w:val="Prrafodelista"/>
        <w:spacing w:before="80" w:line="240" w:lineRule="exact"/>
        <w:ind w:left="851"/>
        <w:jc w:val="both"/>
        <w:rPr>
          <w:rFonts w:ascii="Arial" w:eastAsia="Calibri" w:hAnsi="Arial" w:cs="Arial"/>
          <w:b/>
          <w:spacing w:val="-1"/>
          <w:sz w:val="17"/>
          <w:szCs w:val="17"/>
        </w:rPr>
      </w:pPr>
    </w:p>
    <w:p w:rsidR="00CC6521" w:rsidRPr="00BA272D" w:rsidRDefault="00CC6521"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Para el periodo que se reporta, no existe</w:t>
      </w:r>
      <w:r>
        <w:rPr>
          <w:rFonts w:ascii="Arial" w:eastAsia="Calibri" w:hAnsi="Arial" w:cs="Arial"/>
          <w:spacing w:val="-1"/>
          <w:sz w:val="17"/>
          <w:szCs w:val="17"/>
        </w:rPr>
        <w:t>n eventos posteriores a</w:t>
      </w:r>
      <w:r w:rsidRPr="00BA272D">
        <w:rPr>
          <w:rFonts w:ascii="Arial" w:eastAsia="Calibri" w:hAnsi="Arial" w:cs="Arial"/>
          <w:spacing w:val="-1"/>
          <w:sz w:val="17"/>
          <w:szCs w:val="17"/>
        </w:rPr>
        <w:t xml:space="preserve"> revelar.</w:t>
      </w:r>
    </w:p>
    <w:p w:rsidR="007F6524" w:rsidRPr="00BA272D" w:rsidRDefault="007F6524" w:rsidP="00584A87">
      <w:pPr>
        <w:spacing w:before="80" w:line="240" w:lineRule="exact"/>
        <w:ind w:left="851"/>
        <w:jc w:val="both"/>
        <w:rPr>
          <w:rFonts w:ascii="Arial" w:eastAsia="Calibri" w:hAnsi="Arial" w:cs="Arial"/>
          <w:spacing w:val="-1"/>
          <w:sz w:val="17"/>
          <w:szCs w:val="17"/>
        </w:rPr>
      </w:pPr>
    </w:p>
    <w:p w:rsidR="00F71E5C" w:rsidRPr="00BA272D" w:rsidRDefault="00F71E5C" w:rsidP="00584A87">
      <w:pPr>
        <w:pStyle w:val="Prrafodelista"/>
        <w:numPr>
          <w:ilvl w:val="0"/>
          <w:numId w:val="11"/>
        </w:numPr>
        <w:spacing w:before="80" w:line="240" w:lineRule="exact"/>
        <w:ind w:left="851"/>
        <w:jc w:val="both"/>
        <w:rPr>
          <w:rFonts w:ascii="Arial" w:eastAsia="Calibri" w:hAnsi="Arial" w:cs="Arial"/>
          <w:b/>
          <w:spacing w:val="-1"/>
          <w:sz w:val="17"/>
          <w:szCs w:val="17"/>
        </w:rPr>
      </w:pPr>
      <w:r w:rsidRPr="00BA272D">
        <w:rPr>
          <w:rFonts w:ascii="Arial" w:eastAsia="Calibri" w:hAnsi="Arial" w:cs="Arial"/>
          <w:b/>
          <w:spacing w:val="-1"/>
          <w:sz w:val="17"/>
          <w:szCs w:val="17"/>
        </w:rPr>
        <w:t>Partes Relacionadas</w:t>
      </w:r>
    </w:p>
    <w:p w:rsidR="00FE24F9" w:rsidRPr="00BA272D" w:rsidRDefault="00FE24F9" w:rsidP="00584A87">
      <w:pPr>
        <w:pStyle w:val="Prrafodelista"/>
        <w:spacing w:before="80" w:line="240" w:lineRule="exact"/>
        <w:ind w:left="851"/>
        <w:jc w:val="both"/>
        <w:rPr>
          <w:rFonts w:ascii="Arial" w:eastAsia="Calibri" w:hAnsi="Arial" w:cs="Arial"/>
          <w:b/>
          <w:spacing w:val="-1"/>
          <w:sz w:val="17"/>
          <w:szCs w:val="17"/>
        </w:rPr>
      </w:pPr>
    </w:p>
    <w:p w:rsidR="00F71E5C" w:rsidRPr="00BA272D" w:rsidRDefault="00F71E5C" w:rsidP="00584A87">
      <w:pPr>
        <w:spacing w:before="80" w:line="240" w:lineRule="exact"/>
        <w:ind w:left="851"/>
        <w:jc w:val="both"/>
        <w:rPr>
          <w:rFonts w:ascii="Arial" w:eastAsia="Calibri" w:hAnsi="Arial" w:cs="Arial"/>
          <w:spacing w:val="-1"/>
          <w:sz w:val="17"/>
          <w:szCs w:val="17"/>
        </w:rPr>
      </w:pPr>
      <w:r w:rsidRPr="00BA272D">
        <w:rPr>
          <w:rFonts w:ascii="Arial" w:eastAsia="Calibri" w:hAnsi="Arial" w:cs="Arial"/>
          <w:spacing w:val="-1"/>
          <w:sz w:val="17"/>
          <w:szCs w:val="17"/>
        </w:rPr>
        <w:t xml:space="preserve">Para el presente </w:t>
      </w:r>
      <w:r w:rsidR="009106BF" w:rsidRPr="00BA272D">
        <w:rPr>
          <w:rFonts w:ascii="Arial" w:eastAsia="Calibri" w:hAnsi="Arial" w:cs="Arial"/>
          <w:spacing w:val="-1"/>
          <w:sz w:val="17"/>
          <w:szCs w:val="17"/>
        </w:rPr>
        <w:t>informe</w:t>
      </w:r>
      <w:r w:rsidRPr="00BA272D">
        <w:rPr>
          <w:rFonts w:ascii="Arial" w:eastAsia="Calibri" w:hAnsi="Arial" w:cs="Arial"/>
          <w:spacing w:val="-1"/>
          <w:sz w:val="17"/>
          <w:szCs w:val="17"/>
        </w:rPr>
        <w:t xml:space="preserve"> al </w:t>
      </w:r>
      <w:r w:rsidR="008602D7" w:rsidRPr="00BA272D">
        <w:rPr>
          <w:rFonts w:ascii="Arial" w:eastAsia="Calibri" w:hAnsi="Arial" w:cs="Arial"/>
          <w:spacing w:val="-1"/>
          <w:sz w:val="17"/>
          <w:szCs w:val="17"/>
        </w:rPr>
        <w:t>31 de diciembre</w:t>
      </w:r>
      <w:r w:rsidR="00C378B5" w:rsidRPr="00BA272D">
        <w:rPr>
          <w:rFonts w:ascii="Arial" w:eastAsia="Calibri" w:hAnsi="Arial" w:cs="Arial"/>
          <w:spacing w:val="-1"/>
          <w:sz w:val="17"/>
          <w:szCs w:val="17"/>
        </w:rPr>
        <w:t xml:space="preserve"> del 2021</w:t>
      </w:r>
      <w:r w:rsidRPr="00BA272D">
        <w:rPr>
          <w:rFonts w:ascii="Arial" w:eastAsia="Calibri" w:hAnsi="Arial" w:cs="Arial"/>
          <w:spacing w:val="-1"/>
          <w:sz w:val="17"/>
          <w:szCs w:val="17"/>
        </w:rPr>
        <w:t>, no existen partes relacionadas que pudieran ejercer influencia significativa sobre la toma de decisiones financieras y operativas.</w:t>
      </w:r>
    </w:p>
    <w:tbl>
      <w:tblPr>
        <w:tblW w:w="4943" w:type="pct"/>
        <w:jc w:val="center"/>
        <w:tblCellMar>
          <w:left w:w="70" w:type="dxa"/>
          <w:right w:w="70" w:type="dxa"/>
        </w:tblCellMar>
        <w:tblLook w:val="04A0" w:firstRow="1" w:lastRow="0" w:firstColumn="1" w:lastColumn="0" w:noHBand="0" w:noVBand="1"/>
      </w:tblPr>
      <w:tblGrid>
        <w:gridCol w:w="146"/>
        <w:gridCol w:w="4237"/>
        <w:gridCol w:w="3976"/>
        <w:gridCol w:w="3973"/>
      </w:tblGrid>
      <w:tr w:rsidR="00F71E5C" w:rsidRPr="00BA272D" w:rsidTr="00F71E5C">
        <w:trPr>
          <w:trHeight w:val="499"/>
          <w:jc w:val="center"/>
        </w:trPr>
        <w:tc>
          <w:tcPr>
            <w:tcW w:w="58" w:type="pct"/>
            <w:tcBorders>
              <w:top w:val="nil"/>
              <w:left w:val="nil"/>
              <w:bottom w:val="nil"/>
              <w:right w:val="nil"/>
            </w:tcBorders>
            <w:shd w:val="clear" w:color="000000" w:fill="FFFFFF"/>
            <w:noWrap/>
            <w:vAlign w:val="bottom"/>
          </w:tcPr>
          <w:p w:rsidR="00F71E5C" w:rsidRPr="00BA272D" w:rsidRDefault="00F71E5C" w:rsidP="002948F8">
            <w:pPr>
              <w:spacing w:before="80" w:line="240" w:lineRule="exact"/>
              <w:ind w:left="567"/>
              <w:rPr>
                <w:rFonts w:ascii="Arial" w:hAnsi="Arial" w:cs="Arial"/>
                <w:color w:val="000000"/>
                <w:sz w:val="17"/>
                <w:szCs w:val="17"/>
              </w:rPr>
            </w:pPr>
          </w:p>
        </w:tc>
        <w:tc>
          <w:tcPr>
            <w:tcW w:w="1718" w:type="pct"/>
            <w:tcBorders>
              <w:top w:val="nil"/>
              <w:left w:val="nil"/>
              <w:bottom w:val="single" w:sz="4" w:space="0" w:color="auto"/>
              <w:right w:val="nil"/>
            </w:tcBorders>
            <w:shd w:val="clear" w:color="000000" w:fill="FFFFFF"/>
            <w:noWrap/>
            <w:vAlign w:val="center"/>
            <w:hideMark/>
          </w:tcPr>
          <w:p w:rsidR="00F71E5C" w:rsidRPr="00BA272D" w:rsidRDefault="00F71E5C" w:rsidP="002948F8">
            <w:pPr>
              <w:spacing w:before="80" w:line="240" w:lineRule="exact"/>
              <w:ind w:left="567"/>
              <w:rPr>
                <w:rFonts w:ascii="Arial" w:hAnsi="Arial" w:cs="Arial"/>
                <w:sz w:val="17"/>
                <w:szCs w:val="17"/>
              </w:rPr>
            </w:pPr>
          </w:p>
          <w:p w:rsidR="00F71E5C" w:rsidRPr="00BA272D" w:rsidRDefault="00F71E5C" w:rsidP="002948F8">
            <w:pPr>
              <w:spacing w:before="80" w:line="240" w:lineRule="exact"/>
              <w:ind w:left="567"/>
              <w:rPr>
                <w:rFonts w:ascii="Arial" w:hAnsi="Arial" w:cs="Arial"/>
                <w:sz w:val="17"/>
                <w:szCs w:val="17"/>
              </w:rPr>
            </w:pPr>
          </w:p>
          <w:p w:rsidR="00FE24F9" w:rsidRPr="00BA272D" w:rsidRDefault="00FE24F9" w:rsidP="002948F8">
            <w:pPr>
              <w:spacing w:before="80" w:line="240" w:lineRule="exact"/>
              <w:ind w:left="567"/>
              <w:rPr>
                <w:rFonts w:ascii="Arial" w:hAnsi="Arial" w:cs="Arial"/>
                <w:sz w:val="17"/>
                <w:szCs w:val="17"/>
              </w:rPr>
            </w:pPr>
          </w:p>
          <w:p w:rsidR="00F71E5C" w:rsidRPr="00BA272D" w:rsidRDefault="00F71E5C" w:rsidP="002948F8">
            <w:pPr>
              <w:spacing w:before="80" w:line="240" w:lineRule="exact"/>
              <w:ind w:left="567"/>
              <w:rPr>
                <w:rFonts w:ascii="Arial" w:hAnsi="Arial" w:cs="Arial"/>
                <w:sz w:val="17"/>
                <w:szCs w:val="17"/>
              </w:rPr>
            </w:pPr>
          </w:p>
        </w:tc>
        <w:tc>
          <w:tcPr>
            <w:tcW w:w="1612" w:type="pct"/>
            <w:tcBorders>
              <w:top w:val="nil"/>
              <w:left w:val="nil"/>
              <w:right w:val="nil"/>
            </w:tcBorders>
            <w:shd w:val="clear" w:color="000000" w:fill="FFFFFF"/>
          </w:tcPr>
          <w:p w:rsidR="00F71E5C" w:rsidRPr="00BA272D" w:rsidRDefault="00F71E5C" w:rsidP="002948F8">
            <w:pPr>
              <w:spacing w:before="80" w:line="240" w:lineRule="exact"/>
              <w:ind w:left="567"/>
              <w:jc w:val="center"/>
              <w:rPr>
                <w:rFonts w:ascii="Arial" w:hAnsi="Arial" w:cs="Arial"/>
                <w:sz w:val="17"/>
                <w:szCs w:val="17"/>
              </w:rPr>
            </w:pPr>
          </w:p>
        </w:tc>
        <w:tc>
          <w:tcPr>
            <w:tcW w:w="1611" w:type="pct"/>
            <w:tcBorders>
              <w:top w:val="nil"/>
              <w:left w:val="nil"/>
              <w:bottom w:val="single" w:sz="4" w:space="0" w:color="auto"/>
              <w:right w:val="nil"/>
            </w:tcBorders>
            <w:shd w:val="clear" w:color="000000" w:fill="FFFFFF"/>
          </w:tcPr>
          <w:p w:rsidR="00F71E5C" w:rsidRPr="00BA272D" w:rsidRDefault="00F71E5C" w:rsidP="002948F8">
            <w:pPr>
              <w:spacing w:before="80" w:line="240" w:lineRule="exact"/>
              <w:ind w:left="567"/>
              <w:jc w:val="center"/>
              <w:rPr>
                <w:rFonts w:ascii="Arial" w:hAnsi="Arial" w:cs="Arial"/>
                <w:sz w:val="17"/>
                <w:szCs w:val="17"/>
              </w:rPr>
            </w:pPr>
          </w:p>
        </w:tc>
      </w:tr>
      <w:tr w:rsidR="00F71E5C" w:rsidRPr="00BA272D" w:rsidTr="00F71E5C">
        <w:trPr>
          <w:trHeight w:val="300"/>
          <w:jc w:val="center"/>
        </w:trPr>
        <w:tc>
          <w:tcPr>
            <w:tcW w:w="58" w:type="pct"/>
            <w:tcBorders>
              <w:top w:val="nil"/>
              <w:left w:val="nil"/>
              <w:bottom w:val="nil"/>
              <w:right w:val="nil"/>
            </w:tcBorders>
            <w:shd w:val="clear" w:color="000000" w:fill="FFFFFF"/>
            <w:noWrap/>
            <w:vAlign w:val="bottom"/>
          </w:tcPr>
          <w:p w:rsidR="00F71E5C" w:rsidRPr="00BA272D" w:rsidRDefault="00F71E5C" w:rsidP="002948F8">
            <w:pPr>
              <w:spacing w:before="80" w:line="240" w:lineRule="exact"/>
              <w:ind w:left="567"/>
              <w:rPr>
                <w:rFonts w:ascii="Arial" w:hAnsi="Arial" w:cs="Arial"/>
                <w:color w:val="000000"/>
                <w:sz w:val="17"/>
                <w:szCs w:val="17"/>
              </w:rPr>
            </w:pPr>
          </w:p>
        </w:tc>
        <w:tc>
          <w:tcPr>
            <w:tcW w:w="1718" w:type="pct"/>
            <w:tcBorders>
              <w:top w:val="single" w:sz="4" w:space="0" w:color="auto"/>
              <w:left w:val="nil"/>
              <w:bottom w:val="nil"/>
              <w:right w:val="nil"/>
            </w:tcBorders>
            <w:shd w:val="clear" w:color="000000" w:fill="FFFFFF"/>
            <w:noWrap/>
            <w:vAlign w:val="bottom"/>
            <w:hideMark/>
          </w:tcPr>
          <w:p w:rsidR="00F71E5C" w:rsidRPr="00BA272D" w:rsidRDefault="00F71E5C" w:rsidP="002948F8">
            <w:pPr>
              <w:spacing w:before="80" w:line="240" w:lineRule="exact"/>
              <w:ind w:left="567"/>
              <w:jc w:val="center"/>
              <w:rPr>
                <w:rFonts w:ascii="Arial" w:hAnsi="Arial" w:cs="Arial"/>
                <w:color w:val="000000"/>
                <w:sz w:val="17"/>
                <w:szCs w:val="17"/>
              </w:rPr>
            </w:pPr>
            <w:r w:rsidRPr="00BA272D">
              <w:rPr>
                <w:rFonts w:ascii="Arial" w:hAnsi="Arial" w:cs="Arial"/>
                <w:color w:val="000000"/>
                <w:sz w:val="17"/>
                <w:szCs w:val="17"/>
              </w:rPr>
              <w:t>L.A.</w:t>
            </w:r>
            <w:r w:rsidR="00EB3DA8" w:rsidRPr="00BA272D">
              <w:rPr>
                <w:rFonts w:ascii="Arial" w:hAnsi="Arial" w:cs="Arial"/>
                <w:color w:val="000000"/>
                <w:sz w:val="17"/>
                <w:szCs w:val="17"/>
              </w:rPr>
              <w:t xml:space="preserve"> Gustavo Arturo Leal Maya</w:t>
            </w:r>
          </w:p>
        </w:tc>
        <w:tc>
          <w:tcPr>
            <w:tcW w:w="1612" w:type="pct"/>
            <w:tcBorders>
              <w:left w:val="nil"/>
              <w:bottom w:val="nil"/>
              <w:right w:val="nil"/>
            </w:tcBorders>
            <w:shd w:val="clear" w:color="000000" w:fill="FFFFFF"/>
          </w:tcPr>
          <w:p w:rsidR="00F71E5C" w:rsidRPr="00BA272D" w:rsidRDefault="00F71E5C" w:rsidP="002948F8">
            <w:pPr>
              <w:spacing w:before="80" w:line="240" w:lineRule="exact"/>
              <w:ind w:left="567"/>
              <w:jc w:val="center"/>
              <w:rPr>
                <w:rFonts w:ascii="Arial" w:hAnsi="Arial" w:cs="Arial"/>
                <w:color w:val="000000"/>
                <w:sz w:val="17"/>
                <w:szCs w:val="17"/>
                <w:highlight w:val="yellow"/>
              </w:rPr>
            </w:pPr>
          </w:p>
        </w:tc>
        <w:tc>
          <w:tcPr>
            <w:tcW w:w="1611" w:type="pct"/>
            <w:tcBorders>
              <w:top w:val="single" w:sz="4" w:space="0" w:color="auto"/>
              <w:left w:val="nil"/>
              <w:bottom w:val="nil"/>
              <w:right w:val="nil"/>
            </w:tcBorders>
            <w:shd w:val="clear" w:color="000000" w:fill="FFFFFF"/>
            <w:vAlign w:val="bottom"/>
          </w:tcPr>
          <w:p w:rsidR="00F71E5C" w:rsidRPr="00BA272D" w:rsidRDefault="00EB3DA8" w:rsidP="002948F8">
            <w:pPr>
              <w:spacing w:before="80" w:line="240" w:lineRule="exact"/>
              <w:ind w:left="567"/>
              <w:jc w:val="center"/>
              <w:rPr>
                <w:rFonts w:ascii="Arial" w:hAnsi="Arial" w:cs="Arial"/>
                <w:color w:val="000000"/>
                <w:sz w:val="17"/>
                <w:szCs w:val="17"/>
              </w:rPr>
            </w:pPr>
            <w:r w:rsidRPr="00BA272D">
              <w:rPr>
                <w:rFonts w:ascii="Arial" w:hAnsi="Arial" w:cs="Arial"/>
                <w:color w:val="000000"/>
                <w:sz w:val="17"/>
                <w:szCs w:val="17"/>
              </w:rPr>
              <w:t>C.P. Ana Laura Oviedo Terrazas</w:t>
            </w:r>
          </w:p>
        </w:tc>
      </w:tr>
      <w:tr w:rsidR="00F71E5C" w:rsidRPr="00BA272D" w:rsidTr="00F71E5C">
        <w:trPr>
          <w:trHeight w:val="300"/>
          <w:jc w:val="center"/>
        </w:trPr>
        <w:tc>
          <w:tcPr>
            <w:tcW w:w="58" w:type="pct"/>
            <w:tcBorders>
              <w:top w:val="nil"/>
              <w:left w:val="nil"/>
              <w:bottom w:val="nil"/>
              <w:right w:val="nil"/>
            </w:tcBorders>
            <w:shd w:val="clear" w:color="000000" w:fill="FFFFFF"/>
            <w:noWrap/>
            <w:vAlign w:val="bottom"/>
          </w:tcPr>
          <w:p w:rsidR="00F71E5C" w:rsidRPr="00BA272D" w:rsidRDefault="00F71E5C" w:rsidP="002948F8">
            <w:pPr>
              <w:spacing w:before="80" w:line="240" w:lineRule="exact"/>
              <w:ind w:left="567"/>
              <w:rPr>
                <w:rFonts w:ascii="Arial" w:hAnsi="Arial" w:cs="Arial"/>
                <w:color w:val="000000"/>
                <w:sz w:val="17"/>
                <w:szCs w:val="17"/>
                <w:highlight w:val="yellow"/>
              </w:rPr>
            </w:pPr>
          </w:p>
        </w:tc>
        <w:tc>
          <w:tcPr>
            <w:tcW w:w="1718" w:type="pct"/>
            <w:tcBorders>
              <w:top w:val="nil"/>
              <w:left w:val="nil"/>
              <w:bottom w:val="nil"/>
              <w:right w:val="nil"/>
            </w:tcBorders>
            <w:shd w:val="clear" w:color="000000" w:fill="FFFFFF"/>
            <w:hideMark/>
          </w:tcPr>
          <w:p w:rsidR="00F71E5C" w:rsidRPr="00BA272D" w:rsidRDefault="00EB3DA8" w:rsidP="002948F8">
            <w:pPr>
              <w:spacing w:before="80" w:line="240" w:lineRule="exact"/>
              <w:ind w:left="567"/>
              <w:jc w:val="center"/>
              <w:rPr>
                <w:rFonts w:ascii="Arial" w:hAnsi="Arial" w:cs="Arial"/>
                <w:sz w:val="17"/>
                <w:szCs w:val="17"/>
              </w:rPr>
            </w:pPr>
            <w:r w:rsidRPr="00BA272D">
              <w:rPr>
                <w:rFonts w:ascii="Arial" w:hAnsi="Arial" w:cs="Arial"/>
                <w:sz w:val="17"/>
                <w:szCs w:val="17"/>
              </w:rPr>
              <w:t>Secretario</w:t>
            </w:r>
            <w:r w:rsidR="00F71E5C" w:rsidRPr="00BA272D">
              <w:rPr>
                <w:rFonts w:ascii="Arial" w:hAnsi="Arial" w:cs="Arial"/>
                <w:sz w:val="17"/>
                <w:szCs w:val="17"/>
              </w:rPr>
              <w:t xml:space="preserve"> de Finanzas</w:t>
            </w:r>
          </w:p>
        </w:tc>
        <w:tc>
          <w:tcPr>
            <w:tcW w:w="1612" w:type="pct"/>
            <w:tcBorders>
              <w:top w:val="nil"/>
              <w:left w:val="nil"/>
              <w:bottom w:val="nil"/>
              <w:right w:val="nil"/>
            </w:tcBorders>
            <w:shd w:val="clear" w:color="000000" w:fill="FFFFFF"/>
          </w:tcPr>
          <w:p w:rsidR="00F71E5C" w:rsidRPr="00BA272D" w:rsidRDefault="00F71E5C" w:rsidP="002948F8">
            <w:pPr>
              <w:spacing w:before="80" w:line="240" w:lineRule="exact"/>
              <w:ind w:left="567"/>
              <w:jc w:val="center"/>
              <w:rPr>
                <w:rFonts w:ascii="Arial" w:hAnsi="Arial" w:cs="Arial"/>
                <w:sz w:val="17"/>
                <w:szCs w:val="17"/>
                <w:highlight w:val="yellow"/>
              </w:rPr>
            </w:pPr>
          </w:p>
        </w:tc>
        <w:tc>
          <w:tcPr>
            <w:tcW w:w="1611" w:type="pct"/>
            <w:tcBorders>
              <w:top w:val="nil"/>
              <w:left w:val="nil"/>
              <w:bottom w:val="nil"/>
              <w:right w:val="nil"/>
            </w:tcBorders>
            <w:shd w:val="clear" w:color="000000" w:fill="FFFFFF"/>
          </w:tcPr>
          <w:p w:rsidR="00F71E5C" w:rsidRPr="00BA272D" w:rsidRDefault="00F71E5C" w:rsidP="002948F8">
            <w:pPr>
              <w:spacing w:before="80" w:line="240" w:lineRule="exact"/>
              <w:ind w:left="567"/>
              <w:jc w:val="center"/>
              <w:rPr>
                <w:rFonts w:ascii="Arial" w:hAnsi="Arial" w:cs="Arial"/>
                <w:sz w:val="17"/>
                <w:szCs w:val="17"/>
              </w:rPr>
            </w:pPr>
            <w:r w:rsidRPr="00BA272D">
              <w:rPr>
                <w:rFonts w:ascii="Arial" w:hAnsi="Arial" w:cs="Arial"/>
                <w:sz w:val="17"/>
                <w:szCs w:val="17"/>
              </w:rPr>
              <w:t>Director</w:t>
            </w:r>
            <w:r w:rsidR="00EB3DA8" w:rsidRPr="00BA272D">
              <w:rPr>
                <w:rFonts w:ascii="Arial" w:hAnsi="Arial" w:cs="Arial"/>
                <w:sz w:val="17"/>
                <w:szCs w:val="17"/>
              </w:rPr>
              <w:t>a</w:t>
            </w:r>
            <w:r w:rsidRPr="00BA272D">
              <w:rPr>
                <w:rFonts w:ascii="Arial" w:hAnsi="Arial" w:cs="Arial"/>
                <w:sz w:val="17"/>
                <w:szCs w:val="17"/>
              </w:rPr>
              <w:t xml:space="preserve"> de Contabilidad</w:t>
            </w:r>
          </w:p>
        </w:tc>
      </w:tr>
    </w:tbl>
    <w:p w:rsidR="00F71E5C" w:rsidRPr="00BA272D" w:rsidRDefault="00F71E5C" w:rsidP="002948F8">
      <w:pPr>
        <w:spacing w:before="80" w:line="240" w:lineRule="exact"/>
        <w:ind w:left="567"/>
        <w:rPr>
          <w:rFonts w:ascii="Arial" w:hAnsi="Arial" w:cs="Arial"/>
          <w:sz w:val="17"/>
          <w:szCs w:val="17"/>
        </w:rPr>
      </w:pPr>
    </w:p>
    <w:p w:rsidR="00FE24F9" w:rsidRDefault="00FE24F9" w:rsidP="002948F8">
      <w:pPr>
        <w:spacing w:before="80" w:line="240" w:lineRule="exact"/>
        <w:ind w:left="567"/>
        <w:rPr>
          <w:rFonts w:ascii="Arial" w:hAnsi="Arial" w:cs="Arial"/>
          <w:sz w:val="17"/>
          <w:szCs w:val="17"/>
        </w:rPr>
      </w:pPr>
    </w:p>
    <w:p w:rsidR="0037590B" w:rsidRPr="00BA272D" w:rsidRDefault="0037590B" w:rsidP="002948F8">
      <w:pPr>
        <w:spacing w:before="80" w:line="240" w:lineRule="exact"/>
        <w:ind w:left="567"/>
        <w:rPr>
          <w:rFonts w:ascii="Arial" w:hAnsi="Arial" w:cs="Arial"/>
          <w:sz w:val="17"/>
          <w:szCs w:val="17"/>
        </w:rPr>
      </w:pPr>
    </w:p>
    <w:p w:rsidR="001365BE" w:rsidRDefault="00F71E5C" w:rsidP="00115ED0">
      <w:pPr>
        <w:spacing w:before="80" w:line="240" w:lineRule="exact"/>
        <w:ind w:left="567"/>
        <w:jc w:val="both"/>
        <w:rPr>
          <w:rFonts w:ascii="Arial" w:hAnsi="Arial" w:cs="Arial"/>
          <w:sz w:val="17"/>
          <w:szCs w:val="17"/>
        </w:rPr>
      </w:pPr>
      <w:r w:rsidRPr="00BA272D">
        <w:rPr>
          <w:rFonts w:ascii="Arial" w:hAnsi="Arial" w:cs="Arial"/>
          <w:sz w:val="17"/>
          <w:szCs w:val="17"/>
        </w:rPr>
        <w:t>Bajo protesta de decir verdad declaramos que los Estados Financieros y sus notas, son razonablemente correctos y son responsabilidad del emisor.</w:t>
      </w:r>
    </w:p>
    <w:sectPr w:rsidR="001365BE" w:rsidSect="00786799">
      <w:headerReference w:type="even" r:id="rId18"/>
      <w:headerReference w:type="default" r:id="rId19"/>
      <w:footerReference w:type="even" r:id="rId20"/>
      <w:footerReference w:type="default" r:id="rId21"/>
      <w:pgSz w:w="15840" w:h="12240" w:orient="landscape" w:code="1"/>
      <w:pgMar w:top="1418" w:right="2232" w:bottom="851" w:left="1134" w:header="851" w:footer="283"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12" w:rsidRDefault="00423412" w:rsidP="00F71E5C">
      <w:r>
        <w:separator/>
      </w:r>
    </w:p>
  </w:endnote>
  <w:endnote w:type="continuationSeparator" w:id="0">
    <w:p w:rsidR="00423412" w:rsidRDefault="00423412" w:rsidP="00F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3F" w:rsidRPr="00CF00D0" w:rsidRDefault="0033043F" w:rsidP="001F2131">
    <w:pPr>
      <w:pStyle w:val="Textoindependiente3"/>
      <w:tabs>
        <w:tab w:val="right" w:pos="13288"/>
      </w:tabs>
      <w:rPr>
        <w:rFonts w:ascii="Avenir LT Std 45 Book" w:hAnsi="Avenir LT Std 45 Book" w:cs="Arial"/>
        <w:color w:val="808080"/>
        <w:szCs w:val="20"/>
      </w:rPr>
    </w:pPr>
    <w:r>
      <w:rPr>
        <w:noProof/>
      </w:rPr>
      <mc:AlternateContent>
        <mc:Choice Requires="wps">
          <w:drawing>
            <wp:anchor distT="0" distB="0" distL="114300" distR="114300" simplePos="0" relativeHeight="251659776" behindDoc="0" locked="0" layoutInCell="1" allowOverlap="1">
              <wp:simplePos x="0" y="0"/>
              <wp:positionH relativeFrom="page">
                <wp:posOffset>786765</wp:posOffset>
              </wp:positionH>
              <wp:positionV relativeFrom="page">
                <wp:posOffset>7088505</wp:posOffset>
              </wp:positionV>
              <wp:extent cx="8442325" cy="45085"/>
              <wp:effectExtent l="0" t="0" r="0" b="0"/>
              <wp:wrapSquare wrapText="bothSides"/>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60F56" id="Rectángulo 14" o:spid="_x0000_s1026" style="position:absolute;margin-left:61.95pt;margin-top:558.15pt;width:664.75pt;height: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" fillcolor="#a5a5a5" strokecolor="#787878" strokeweight="1pt">
              <v:path arrowok="t"/>
              <w10:wrap type="square" anchorx="page" anchory="page"/>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366502">
      <w:rPr>
        <w:rFonts w:ascii="Avenir LT Std 45 Book" w:hAnsi="Avenir LT Std 45 Book" w:cs="Arial"/>
        <w:noProof/>
        <w:color w:val="808080"/>
        <w:szCs w:val="20"/>
      </w:rPr>
      <w:t>45</w:t>
    </w:r>
    <w:r w:rsidRPr="00CF00D0">
      <w:rPr>
        <w:rFonts w:ascii="Avenir LT Std 45 Book" w:hAnsi="Avenir LT Std 45 Book" w:cs="Arial"/>
        <w:color w:val="808080"/>
        <w:szCs w:val="20"/>
      </w:rPr>
      <w:fldChar w:fldCharType="end"/>
    </w:r>
  </w:p>
  <w:p w:rsidR="0033043F" w:rsidRPr="00813029" w:rsidRDefault="0033043F" w:rsidP="001F2131">
    <w:pPr>
      <w:pStyle w:val="Piedepgina"/>
    </w:pPr>
  </w:p>
  <w:p w:rsidR="0033043F" w:rsidRDefault="0033043F"/>
  <w:p w:rsidR="0033043F" w:rsidRDefault="003304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3F" w:rsidRPr="00CF00D0" w:rsidRDefault="0033043F" w:rsidP="00D22D8B">
    <w:pPr>
      <w:pStyle w:val="Textoindependiente3"/>
      <w:tabs>
        <w:tab w:val="right" w:pos="13288"/>
      </w:tabs>
      <w:ind w:left="851"/>
      <w:rPr>
        <w:rFonts w:ascii="Avenir LT Std 45 Book" w:hAnsi="Avenir LT Std 45 Book" w:cs="Arial"/>
        <w:color w:val="808080"/>
        <w:szCs w:val="20"/>
      </w:rPr>
    </w:pPr>
    <w:r>
      <w:rPr>
        <w:noProof/>
      </w:rPr>
      <mc:AlternateContent>
        <mc:Choice Requires="wps">
          <w:drawing>
            <wp:anchor distT="0" distB="0" distL="114300" distR="114300" simplePos="0" relativeHeight="251649536" behindDoc="0" locked="0" layoutInCell="1" allowOverlap="1">
              <wp:simplePos x="0" y="0"/>
              <wp:positionH relativeFrom="margin">
                <wp:posOffset>-19685</wp:posOffset>
              </wp:positionH>
              <wp:positionV relativeFrom="page">
                <wp:posOffset>6941185</wp:posOffset>
              </wp:positionV>
              <wp:extent cx="8442325" cy="45085"/>
              <wp:effectExtent l="0" t="0" r="0" b="0"/>
              <wp:wrapSquare wrapText="bothSides"/>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325" cy="4508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B26F7" id="Rectángulo 12" o:spid="_x0000_s1026" style="position:absolute;margin-left:-1.55pt;margin-top:546.55pt;width:664.75pt;height:3.5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" fillcolor="#a5a5a5" strokecolor="#787878" strokeweight="1pt">
              <v:path arrowok="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t xml:space="preserve">                                                                                    </w:t>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366502">
      <w:rPr>
        <w:rFonts w:ascii="Avenir LT Std 45 Book" w:hAnsi="Avenir LT Std 45 Book" w:cs="Arial"/>
        <w:noProof/>
        <w:color w:val="808080"/>
        <w:szCs w:val="20"/>
      </w:rPr>
      <w:t>21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366502">
      <w:rPr>
        <w:rFonts w:ascii="Avenir LT Std 45 Book" w:hAnsi="Avenir LT Std 45 Book" w:cs="Arial"/>
        <w:noProof/>
        <w:color w:val="808080"/>
        <w:szCs w:val="20"/>
      </w:rPr>
      <w:t>45</w:t>
    </w:r>
    <w:r w:rsidRPr="00CF00D0">
      <w:rPr>
        <w:rFonts w:ascii="Avenir LT Std 45 Book" w:hAnsi="Avenir LT Std 45 Book" w:cs="Arial"/>
        <w:color w:val="808080"/>
        <w:szCs w:val="20"/>
      </w:rPr>
      <w:fldChar w:fldCharType="end"/>
    </w:r>
  </w:p>
  <w:p w:rsidR="0033043F" w:rsidRDefault="003304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12" w:rsidRDefault="00423412" w:rsidP="00F71E5C">
      <w:r>
        <w:separator/>
      </w:r>
    </w:p>
  </w:footnote>
  <w:footnote w:type="continuationSeparator" w:id="0">
    <w:p w:rsidR="00423412" w:rsidRDefault="00423412" w:rsidP="00F71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3F" w:rsidRPr="002809DB" w:rsidRDefault="0033043F" w:rsidP="00F71E5C">
    <w:pPr>
      <w:rPr>
        <w:rFonts w:ascii="Soberana Sans Light" w:hAnsi="Soberana Sans Light"/>
        <w:b/>
        <w:sz w:val="20"/>
        <w:szCs w:val="20"/>
      </w:rPr>
    </w:pPr>
    <w:r>
      <w:rPr>
        <w:noProof/>
      </w:rPr>
      <mc:AlternateContent>
        <mc:Choice Requires="wps">
          <w:drawing>
            <wp:anchor distT="0" distB="0" distL="114300" distR="114300" simplePos="0" relativeHeight="251664896" behindDoc="0" locked="0" layoutInCell="1" allowOverlap="1">
              <wp:simplePos x="0" y="0"/>
              <wp:positionH relativeFrom="margin">
                <wp:posOffset>6494780</wp:posOffset>
              </wp:positionH>
              <wp:positionV relativeFrom="paragraph">
                <wp:posOffset>-159385</wp:posOffset>
              </wp:positionV>
              <wp:extent cx="1940560" cy="384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43F" w:rsidRPr="00505BF8" w:rsidRDefault="0033043F"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margin-left:511.4pt;margin-top:-12.55pt;width:152.8pt;height:3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" stroked="f">
              <v:textbox>
                <w:txbxContent>
                  <w:p w:rsidR="0033043F" w:rsidRPr="00505BF8" w:rsidRDefault="0033043F"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2020</w:t>
                    </w:r>
                  </w:p>
                </w:txbxContent>
              </v:textbox>
              <w10:wrap anchorx="margin"/>
            </v:shape>
          </w:pict>
        </mc:Fallback>
      </mc:AlternateContent>
    </w:r>
    <w:r>
      <w:rPr>
        <w:noProof/>
      </w:rPr>
      <w:drawing>
        <wp:anchor distT="0" distB="0" distL="114300" distR="114300" simplePos="0" relativeHeight="251670016" behindDoc="1" locked="0" layoutInCell="1" allowOverlap="1">
          <wp:simplePos x="0" y="0"/>
          <wp:positionH relativeFrom="margin">
            <wp:align>left</wp:align>
          </wp:positionH>
          <wp:positionV relativeFrom="paragraph">
            <wp:posOffset>-332740</wp:posOffset>
          </wp:positionV>
          <wp:extent cx="1564005" cy="5816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268605</wp:posOffset>
              </wp:positionV>
              <wp:extent cx="8442960" cy="45720"/>
              <wp:effectExtent l="0" t="0" r="0" b="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088B" id="Rectángulo 16" o:spid="_x0000_s1026" style="position:absolute;margin-left:0;margin-top:21.15pt;width:664.8pt;height:3.6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" fillcolor="#a5a5a5" strokecolor="#787878" strokeweight="1pt">
              <v:path arrowok="t"/>
              <w10:wrap anchorx="margin"/>
            </v:rect>
          </w:pict>
        </mc:Fallback>
      </mc:AlternateContent>
    </w:r>
  </w:p>
  <w:p w:rsidR="0033043F" w:rsidRDefault="0033043F"/>
  <w:p w:rsidR="0033043F" w:rsidRDefault="003304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3F" w:rsidRPr="00CF00D0" w:rsidRDefault="0033043F" w:rsidP="00F71E5C">
    <w:pPr>
      <w:jc w:val="center"/>
      <w:rPr>
        <w:rFonts w:ascii="Avenir LT Std 45 Book" w:hAnsi="Avenir LT Std 45 Book"/>
        <w:b/>
        <w:color w:val="808080"/>
        <w:sz w:val="20"/>
        <w:szCs w:val="20"/>
      </w:rPr>
    </w:pPr>
    <w:r>
      <w:rPr>
        <w:noProof/>
      </w:rPr>
      <mc:AlternateContent>
        <mc:Choice Requires="wps">
          <w:drawing>
            <wp:anchor distT="0" distB="0" distL="114300" distR="114300" simplePos="0" relativeHeight="251644416" behindDoc="0" locked="0" layoutInCell="1" allowOverlap="1">
              <wp:simplePos x="0" y="0"/>
              <wp:positionH relativeFrom="margin">
                <wp:posOffset>-41275</wp:posOffset>
              </wp:positionH>
              <wp:positionV relativeFrom="paragraph">
                <wp:posOffset>146050</wp:posOffset>
              </wp:positionV>
              <wp:extent cx="8442960" cy="4572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2960" cy="4572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B8E2" id="Rectángulo 15" o:spid="_x0000_s1026" style="position:absolute;margin-left:-3.25pt;margin-top:11.5pt;width:664.8pt;height:3.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" fillcolor="#a5a5a5" strokecolor="#787878" strokeweight="1pt">
              <v:path arrowok="t"/>
              <w10:wrap anchorx="margin"/>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align>right</wp:align>
              </wp:positionH>
              <wp:positionV relativeFrom="paragraph">
                <wp:posOffset>-238125</wp:posOffset>
              </wp:positionV>
              <wp:extent cx="1940560" cy="384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43F" w:rsidRPr="00505BF8" w:rsidRDefault="0033043F"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left:0;text-align:left;margin-left:101.6pt;margin-top:-18.75pt;width:152.8pt;height:30.2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" stroked="f">
              <v:textbox>
                <w:txbxContent>
                  <w:p w:rsidR="0033043F" w:rsidRPr="00505BF8" w:rsidRDefault="0033043F" w:rsidP="00F71E5C">
                    <w:pPr>
                      <w:jc w:val="right"/>
                      <w:rPr>
                        <w:rFonts w:ascii="Avenir LT Std 45 Book" w:hAnsi="Avenir LT Std 45 Book" w:cs="Arial"/>
                        <w:b/>
                        <w:color w:val="808080"/>
                        <w:sz w:val="28"/>
                        <w:szCs w:val="20"/>
                      </w:rPr>
                    </w:pPr>
                    <w:r>
                      <w:rPr>
                        <w:rFonts w:ascii="Avenir LT Std 45 Book" w:hAnsi="Avenir LT Std 45 Book" w:cs="Arial"/>
                        <w:b/>
                        <w:color w:val="808080"/>
                        <w:sz w:val="28"/>
                        <w:szCs w:val="20"/>
                      </w:rPr>
                      <w:t>Diciembre 2021</w:t>
                    </w:r>
                  </w:p>
                </w:txbxContent>
              </v:textbox>
              <w10:wrap anchorx="margin"/>
            </v:shape>
          </w:pict>
        </mc:Fallback>
      </mc:AlternateContent>
    </w:r>
    <w:r>
      <w:rPr>
        <w:rFonts w:ascii="Avenir LT Std 45 Book" w:hAnsi="Avenir LT Std 45 Book" w:cs="Arial"/>
        <w:b/>
        <w:caps/>
        <w:noProof/>
        <w:color w:val="808080"/>
        <w:sz w:val="20"/>
        <w:szCs w:val="20"/>
      </w:rPr>
      <w:t>PODER EJECUTIVO DEL ESTADO DE QUERÉTARO</w:t>
    </w:r>
  </w:p>
  <w:p w:rsidR="0033043F" w:rsidRDefault="003304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7207956"/>
    <w:multiLevelType w:val="hybridMultilevel"/>
    <w:tmpl w:val="37700C6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DF34FE4"/>
    <w:multiLevelType w:val="hybridMultilevel"/>
    <w:tmpl w:val="2E8E6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C78DB"/>
    <w:multiLevelType w:val="hybridMultilevel"/>
    <w:tmpl w:val="828C9CB4"/>
    <w:lvl w:ilvl="0" w:tplc="080A0001">
      <w:start w:val="1"/>
      <w:numFmt w:val="bullet"/>
      <w:lvlText w:val=""/>
      <w:lvlJc w:val="left"/>
      <w:pPr>
        <w:ind w:left="720" w:hanging="360"/>
      </w:pPr>
      <w:rPr>
        <w:rFonts w:ascii="Symbol" w:hAnsi="Symbol"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6B40F6D8">
      <w:numFmt w:val="bullet"/>
      <w:lvlText w:val="•"/>
      <w:lvlJc w:val="left"/>
      <w:pPr>
        <w:ind w:left="3225" w:hanging="705"/>
      </w:pPr>
      <w:rPr>
        <w:rFonts w:ascii="Arial" w:eastAsia="Calibri" w:hAnsi="Aria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C76B8"/>
    <w:multiLevelType w:val="hybridMultilevel"/>
    <w:tmpl w:val="8826BF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20A13"/>
    <w:multiLevelType w:val="hybridMultilevel"/>
    <w:tmpl w:val="70E68EE6"/>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2A04174"/>
    <w:multiLevelType w:val="hybridMultilevel"/>
    <w:tmpl w:val="99221C0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171C5117"/>
    <w:multiLevelType w:val="hybridMultilevel"/>
    <w:tmpl w:val="95CAC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11787C96">
      <w:numFmt w:val="bullet"/>
      <w:lvlText w:val="•"/>
      <w:lvlJc w:val="left"/>
      <w:pPr>
        <w:ind w:left="3945" w:hanging="705"/>
      </w:pPr>
      <w:rPr>
        <w:rFonts w:ascii="Arial" w:eastAsia="Calibri"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D50F5C"/>
    <w:multiLevelType w:val="hybridMultilevel"/>
    <w:tmpl w:val="D56C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ED175A"/>
    <w:multiLevelType w:val="hybridMultilevel"/>
    <w:tmpl w:val="35823138"/>
    <w:lvl w:ilvl="0" w:tplc="A1A85B12">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D5B3B35"/>
    <w:multiLevelType w:val="hybridMultilevel"/>
    <w:tmpl w:val="35CC276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E5379B"/>
    <w:multiLevelType w:val="hybridMultilevel"/>
    <w:tmpl w:val="FB9AC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EF77FE"/>
    <w:multiLevelType w:val="multilevel"/>
    <w:tmpl w:val="CF34A9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E0537"/>
    <w:multiLevelType w:val="hybridMultilevel"/>
    <w:tmpl w:val="A2B68E8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40BE6BB6"/>
    <w:multiLevelType w:val="hybridMultilevel"/>
    <w:tmpl w:val="C8FE740C"/>
    <w:lvl w:ilvl="0" w:tplc="7CAA1DBA">
      <w:start w:val="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5F5914"/>
    <w:multiLevelType w:val="hybridMultilevel"/>
    <w:tmpl w:val="A39898EC"/>
    <w:lvl w:ilvl="0" w:tplc="080A0017">
      <w:start w:val="1"/>
      <w:numFmt w:val="lowerLetter"/>
      <w:lvlText w:val="%1)"/>
      <w:lvlJc w:val="left"/>
      <w:pPr>
        <w:ind w:left="720" w:hanging="360"/>
      </w:pPr>
      <w:rPr>
        <w:rFonts w:hint="default"/>
      </w:rPr>
    </w:lvl>
    <w:lvl w:ilvl="1" w:tplc="185E1764">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34C4A"/>
    <w:multiLevelType w:val="hybridMultilevel"/>
    <w:tmpl w:val="D5E0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F7954"/>
    <w:multiLevelType w:val="hybridMultilevel"/>
    <w:tmpl w:val="CDCE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2556D"/>
    <w:multiLevelType w:val="hybridMultilevel"/>
    <w:tmpl w:val="0D50F0C2"/>
    <w:lvl w:ilvl="0" w:tplc="080A0001">
      <w:start w:val="1"/>
      <w:numFmt w:val="bullet"/>
      <w:lvlText w:val=""/>
      <w:lvlJc w:val="left"/>
      <w:pPr>
        <w:ind w:left="1741" w:hanging="360"/>
      </w:pPr>
      <w:rPr>
        <w:rFonts w:ascii="Symbol" w:hAnsi="Symbol" w:hint="default"/>
      </w:rPr>
    </w:lvl>
    <w:lvl w:ilvl="1" w:tplc="080A0003" w:tentative="1">
      <w:start w:val="1"/>
      <w:numFmt w:val="bullet"/>
      <w:lvlText w:val="o"/>
      <w:lvlJc w:val="left"/>
      <w:pPr>
        <w:ind w:left="2461" w:hanging="360"/>
      </w:pPr>
      <w:rPr>
        <w:rFonts w:ascii="Courier New" w:hAnsi="Courier New" w:cs="Courier New" w:hint="default"/>
      </w:rPr>
    </w:lvl>
    <w:lvl w:ilvl="2" w:tplc="080A0005" w:tentative="1">
      <w:start w:val="1"/>
      <w:numFmt w:val="bullet"/>
      <w:lvlText w:val=""/>
      <w:lvlJc w:val="left"/>
      <w:pPr>
        <w:ind w:left="3181" w:hanging="360"/>
      </w:pPr>
      <w:rPr>
        <w:rFonts w:ascii="Wingdings" w:hAnsi="Wingdings" w:hint="default"/>
      </w:rPr>
    </w:lvl>
    <w:lvl w:ilvl="3" w:tplc="080A0001" w:tentative="1">
      <w:start w:val="1"/>
      <w:numFmt w:val="bullet"/>
      <w:lvlText w:val=""/>
      <w:lvlJc w:val="left"/>
      <w:pPr>
        <w:ind w:left="3901" w:hanging="360"/>
      </w:pPr>
      <w:rPr>
        <w:rFonts w:ascii="Symbol" w:hAnsi="Symbol" w:hint="default"/>
      </w:rPr>
    </w:lvl>
    <w:lvl w:ilvl="4" w:tplc="080A0003" w:tentative="1">
      <w:start w:val="1"/>
      <w:numFmt w:val="bullet"/>
      <w:lvlText w:val="o"/>
      <w:lvlJc w:val="left"/>
      <w:pPr>
        <w:ind w:left="4621" w:hanging="360"/>
      </w:pPr>
      <w:rPr>
        <w:rFonts w:ascii="Courier New" w:hAnsi="Courier New" w:cs="Courier New" w:hint="default"/>
      </w:rPr>
    </w:lvl>
    <w:lvl w:ilvl="5" w:tplc="080A0005" w:tentative="1">
      <w:start w:val="1"/>
      <w:numFmt w:val="bullet"/>
      <w:lvlText w:val=""/>
      <w:lvlJc w:val="left"/>
      <w:pPr>
        <w:ind w:left="5341" w:hanging="360"/>
      </w:pPr>
      <w:rPr>
        <w:rFonts w:ascii="Wingdings" w:hAnsi="Wingdings" w:hint="default"/>
      </w:rPr>
    </w:lvl>
    <w:lvl w:ilvl="6" w:tplc="080A0001" w:tentative="1">
      <w:start w:val="1"/>
      <w:numFmt w:val="bullet"/>
      <w:lvlText w:val=""/>
      <w:lvlJc w:val="left"/>
      <w:pPr>
        <w:ind w:left="6061" w:hanging="360"/>
      </w:pPr>
      <w:rPr>
        <w:rFonts w:ascii="Symbol" w:hAnsi="Symbol" w:hint="default"/>
      </w:rPr>
    </w:lvl>
    <w:lvl w:ilvl="7" w:tplc="080A0003" w:tentative="1">
      <w:start w:val="1"/>
      <w:numFmt w:val="bullet"/>
      <w:lvlText w:val="o"/>
      <w:lvlJc w:val="left"/>
      <w:pPr>
        <w:ind w:left="6781" w:hanging="360"/>
      </w:pPr>
      <w:rPr>
        <w:rFonts w:ascii="Courier New" w:hAnsi="Courier New" w:cs="Courier New" w:hint="default"/>
      </w:rPr>
    </w:lvl>
    <w:lvl w:ilvl="8" w:tplc="080A0005" w:tentative="1">
      <w:start w:val="1"/>
      <w:numFmt w:val="bullet"/>
      <w:lvlText w:val=""/>
      <w:lvlJc w:val="left"/>
      <w:pPr>
        <w:ind w:left="7501" w:hanging="360"/>
      </w:pPr>
      <w:rPr>
        <w:rFonts w:ascii="Wingdings" w:hAnsi="Wingdings" w:hint="default"/>
      </w:rPr>
    </w:lvl>
  </w:abstractNum>
  <w:abstractNum w:abstractNumId="24" w15:restartNumberingAfterBreak="0">
    <w:nsid w:val="50120857"/>
    <w:multiLevelType w:val="hybridMultilevel"/>
    <w:tmpl w:val="4FD8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061865"/>
    <w:multiLevelType w:val="hybridMultilevel"/>
    <w:tmpl w:val="45588FD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1C5038"/>
    <w:multiLevelType w:val="hybridMultilevel"/>
    <w:tmpl w:val="307EAC80"/>
    <w:lvl w:ilvl="0" w:tplc="4634BF3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A966AD"/>
    <w:multiLevelType w:val="hybridMultilevel"/>
    <w:tmpl w:val="B6FC8B10"/>
    <w:lvl w:ilvl="0" w:tplc="1A7414A8">
      <w:start w:val="3"/>
      <w:numFmt w:val="lowerLetter"/>
      <w:lvlText w:val="%1."/>
      <w:lvlJc w:val="left"/>
      <w:pPr>
        <w:ind w:left="1275" w:hanging="360"/>
      </w:pPr>
      <w:rPr>
        <w:rFonts w:hint="default"/>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8" w15:restartNumberingAfterBreak="0">
    <w:nsid w:val="57411845"/>
    <w:multiLevelType w:val="hybridMultilevel"/>
    <w:tmpl w:val="7D12A94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C310598"/>
    <w:multiLevelType w:val="hybridMultilevel"/>
    <w:tmpl w:val="F132A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D00AF5"/>
    <w:multiLevelType w:val="hybridMultilevel"/>
    <w:tmpl w:val="F560FC6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1" w15:restartNumberingAfterBreak="0">
    <w:nsid w:val="5FFD38B2"/>
    <w:multiLevelType w:val="hybridMultilevel"/>
    <w:tmpl w:val="EF94B5B0"/>
    <w:lvl w:ilvl="0" w:tplc="76D695B0">
      <w:start w:val="1"/>
      <w:numFmt w:val="upperRoman"/>
      <w:lvlText w:val="%1)"/>
      <w:lvlJc w:val="left"/>
      <w:pPr>
        <w:ind w:left="1080" w:hanging="720"/>
      </w:pPr>
      <w:rPr>
        <w:rFonts w:hint="default"/>
      </w:rPr>
    </w:lvl>
    <w:lvl w:ilvl="1" w:tplc="A1A85B12">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1F6A35"/>
    <w:multiLevelType w:val="hybridMultilevel"/>
    <w:tmpl w:val="8B1C17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8740A8"/>
    <w:multiLevelType w:val="hybridMultilevel"/>
    <w:tmpl w:val="3A9E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64D2B"/>
    <w:multiLevelType w:val="hybridMultilevel"/>
    <w:tmpl w:val="6EE0E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F60949"/>
    <w:multiLevelType w:val="hybridMultilevel"/>
    <w:tmpl w:val="D8B2ADFA"/>
    <w:lvl w:ilvl="0" w:tplc="080A0001">
      <w:start w:val="1"/>
      <w:numFmt w:val="bullet"/>
      <w:lvlText w:val=""/>
      <w:lvlJc w:val="left"/>
      <w:pPr>
        <w:ind w:left="720" w:hanging="360"/>
      </w:pPr>
      <w:rPr>
        <w:rFonts w:ascii="Symbol" w:hAnsi="Symbol" w:hint="default"/>
      </w:rPr>
    </w:lvl>
    <w:lvl w:ilvl="1" w:tplc="185E1764">
      <w:numFmt w:val="bullet"/>
      <w:lvlText w:val="•"/>
      <w:lvlJc w:val="left"/>
      <w:pPr>
        <w:ind w:left="1785" w:hanging="705"/>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8" w15:restartNumberingAfterBreak="0">
    <w:nsid w:val="77083BE6"/>
    <w:multiLevelType w:val="hybridMultilevel"/>
    <w:tmpl w:val="1DBAAE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A6C5E76"/>
    <w:multiLevelType w:val="hybridMultilevel"/>
    <w:tmpl w:val="57CCA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41572B"/>
    <w:multiLevelType w:val="hybridMultilevel"/>
    <w:tmpl w:val="8A1865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7FA94D2F"/>
    <w:multiLevelType w:val="hybridMultilevel"/>
    <w:tmpl w:val="0430DD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0"/>
  </w:num>
  <w:num w:numId="4">
    <w:abstractNumId w:val="22"/>
  </w:num>
  <w:num w:numId="5">
    <w:abstractNumId w:val="15"/>
  </w:num>
  <w:num w:numId="6">
    <w:abstractNumId w:val="1"/>
  </w:num>
  <w:num w:numId="7">
    <w:abstractNumId w:val="3"/>
  </w:num>
  <w:num w:numId="8">
    <w:abstractNumId w:val="41"/>
  </w:num>
  <w:num w:numId="9">
    <w:abstractNumId w:val="18"/>
  </w:num>
  <w:num w:numId="10">
    <w:abstractNumId w:val="31"/>
  </w:num>
  <w:num w:numId="11">
    <w:abstractNumId w:val="5"/>
  </w:num>
  <w:num w:numId="12">
    <w:abstractNumId w:val="32"/>
  </w:num>
  <w:num w:numId="13">
    <w:abstractNumId w:val="25"/>
  </w:num>
  <w:num w:numId="14">
    <w:abstractNumId w:val="12"/>
  </w:num>
  <w:num w:numId="15">
    <w:abstractNumId w:val="21"/>
  </w:num>
  <w:num w:numId="16">
    <w:abstractNumId w:val="11"/>
  </w:num>
  <w:num w:numId="17">
    <w:abstractNumId w:val="19"/>
  </w:num>
  <w:num w:numId="18">
    <w:abstractNumId w:val="7"/>
  </w:num>
  <w:num w:numId="19">
    <w:abstractNumId w:val="27"/>
  </w:num>
  <w:num w:numId="20">
    <w:abstractNumId w:val="9"/>
  </w:num>
  <w:num w:numId="21">
    <w:abstractNumId w:val="36"/>
  </w:num>
  <w:num w:numId="22">
    <w:abstractNumId w:val="14"/>
  </w:num>
  <w:num w:numId="23">
    <w:abstractNumId w:val="28"/>
  </w:num>
  <w:num w:numId="24">
    <w:abstractNumId w:val="29"/>
  </w:num>
  <w:num w:numId="25">
    <w:abstractNumId w:val="24"/>
  </w:num>
  <w:num w:numId="26">
    <w:abstractNumId w:val="35"/>
  </w:num>
  <w:num w:numId="27">
    <w:abstractNumId w:val="34"/>
  </w:num>
  <w:num w:numId="28">
    <w:abstractNumId w:val="4"/>
  </w:num>
  <w:num w:numId="29">
    <w:abstractNumId w:val="13"/>
  </w:num>
  <w:num w:numId="30">
    <w:abstractNumId w:val="23"/>
  </w:num>
  <w:num w:numId="31">
    <w:abstractNumId w:val="17"/>
  </w:num>
  <w:num w:numId="32">
    <w:abstractNumId w:val="33"/>
  </w:num>
  <w:num w:numId="33">
    <w:abstractNumId w:val="6"/>
  </w:num>
  <w:num w:numId="34">
    <w:abstractNumId w:val="2"/>
  </w:num>
  <w:num w:numId="35">
    <w:abstractNumId w:val="8"/>
  </w:num>
  <w:num w:numId="36">
    <w:abstractNumId w:val="30"/>
  </w:num>
  <w:num w:numId="37">
    <w:abstractNumId w:val="10"/>
  </w:num>
  <w:num w:numId="38">
    <w:abstractNumId w:val="40"/>
  </w:num>
  <w:num w:numId="39">
    <w:abstractNumId w:val="26"/>
  </w:num>
  <w:num w:numId="40">
    <w:abstractNumId w:val="38"/>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5C"/>
    <w:rsid w:val="000101CC"/>
    <w:rsid w:val="00022A30"/>
    <w:rsid w:val="00023C4D"/>
    <w:rsid w:val="00025303"/>
    <w:rsid w:val="00034E9F"/>
    <w:rsid w:val="00040B9A"/>
    <w:rsid w:val="00041430"/>
    <w:rsid w:val="000435D7"/>
    <w:rsid w:val="000540C6"/>
    <w:rsid w:val="00062455"/>
    <w:rsid w:val="00066EEA"/>
    <w:rsid w:val="00072DAB"/>
    <w:rsid w:val="0007655A"/>
    <w:rsid w:val="000823EC"/>
    <w:rsid w:val="000937B3"/>
    <w:rsid w:val="000972EF"/>
    <w:rsid w:val="000A2EAF"/>
    <w:rsid w:val="000A36BF"/>
    <w:rsid w:val="000B13BA"/>
    <w:rsid w:val="000B1AED"/>
    <w:rsid w:val="000C334D"/>
    <w:rsid w:val="000C4CA2"/>
    <w:rsid w:val="000C5793"/>
    <w:rsid w:val="000D59C3"/>
    <w:rsid w:val="000D63F1"/>
    <w:rsid w:val="0010018A"/>
    <w:rsid w:val="001026BC"/>
    <w:rsid w:val="00104086"/>
    <w:rsid w:val="00115ED0"/>
    <w:rsid w:val="00116272"/>
    <w:rsid w:val="0012182B"/>
    <w:rsid w:val="00135F33"/>
    <w:rsid w:val="001365BE"/>
    <w:rsid w:val="0017087B"/>
    <w:rsid w:val="00181251"/>
    <w:rsid w:val="00184B3C"/>
    <w:rsid w:val="0018638F"/>
    <w:rsid w:val="00197B77"/>
    <w:rsid w:val="001A245A"/>
    <w:rsid w:val="001B1851"/>
    <w:rsid w:val="001B2092"/>
    <w:rsid w:val="001B37C8"/>
    <w:rsid w:val="001C0C83"/>
    <w:rsid w:val="001D1221"/>
    <w:rsid w:val="001E4DD4"/>
    <w:rsid w:val="001E6912"/>
    <w:rsid w:val="001E6B16"/>
    <w:rsid w:val="001E782A"/>
    <w:rsid w:val="001F2131"/>
    <w:rsid w:val="001F315F"/>
    <w:rsid w:val="001F3801"/>
    <w:rsid w:val="001F6631"/>
    <w:rsid w:val="00207EA6"/>
    <w:rsid w:val="00215C41"/>
    <w:rsid w:val="00222E14"/>
    <w:rsid w:val="00223F39"/>
    <w:rsid w:val="00223F75"/>
    <w:rsid w:val="00225CFC"/>
    <w:rsid w:val="00235C36"/>
    <w:rsid w:val="00243425"/>
    <w:rsid w:val="00255B57"/>
    <w:rsid w:val="00260A15"/>
    <w:rsid w:val="00271181"/>
    <w:rsid w:val="00277423"/>
    <w:rsid w:val="00280FB2"/>
    <w:rsid w:val="00281FBB"/>
    <w:rsid w:val="002858E0"/>
    <w:rsid w:val="002913EF"/>
    <w:rsid w:val="00293339"/>
    <w:rsid w:val="002948F8"/>
    <w:rsid w:val="002A1F9B"/>
    <w:rsid w:val="002A350C"/>
    <w:rsid w:val="002B2748"/>
    <w:rsid w:val="002B2C20"/>
    <w:rsid w:val="002C791B"/>
    <w:rsid w:val="002D088B"/>
    <w:rsid w:val="002D1306"/>
    <w:rsid w:val="002D130D"/>
    <w:rsid w:val="002E2A88"/>
    <w:rsid w:val="002E7ACC"/>
    <w:rsid w:val="002F2175"/>
    <w:rsid w:val="002F26F6"/>
    <w:rsid w:val="002F2BAD"/>
    <w:rsid w:val="003056B3"/>
    <w:rsid w:val="0031139E"/>
    <w:rsid w:val="00312676"/>
    <w:rsid w:val="00312A2C"/>
    <w:rsid w:val="00315FAD"/>
    <w:rsid w:val="00317B75"/>
    <w:rsid w:val="00321250"/>
    <w:rsid w:val="00327978"/>
    <w:rsid w:val="0033043F"/>
    <w:rsid w:val="003310A8"/>
    <w:rsid w:val="00332529"/>
    <w:rsid w:val="0034286C"/>
    <w:rsid w:val="00343C82"/>
    <w:rsid w:val="00346777"/>
    <w:rsid w:val="00350837"/>
    <w:rsid w:val="00355998"/>
    <w:rsid w:val="003609EF"/>
    <w:rsid w:val="0036397E"/>
    <w:rsid w:val="003640C3"/>
    <w:rsid w:val="00366502"/>
    <w:rsid w:val="0037045C"/>
    <w:rsid w:val="00372B66"/>
    <w:rsid w:val="0037590B"/>
    <w:rsid w:val="00375DFF"/>
    <w:rsid w:val="00381F73"/>
    <w:rsid w:val="003822F9"/>
    <w:rsid w:val="0039158F"/>
    <w:rsid w:val="003A0E7B"/>
    <w:rsid w:val="003A2558"/>
    <w:rsid w:val="003A2EA0"/>
    <w:rsid w:val="003A560F"/>
    <w:rsid w:val="003B1811"/>
    <w:rsid w:val="003B2BB7"/>
    <w:rsid w:val="003B3DF9"/>
    <w:rsid w:val="003B56F9"/>
    <w:rsid w:val="003C0C89"/>
    <w:rsid w:val="003C7FF3"/>
    <w:rsid w:val="003D4141"/>
    <w:rsid w:val="003E0C09"/>
    <w:rsid w:val="003F395B"/>
    <w:rsid w:val="00402FC8"/>
    <w:rsid w:val="00411EEE"/>
    <w:rsid w:val="00420C92"/>
    <w:rsid w:val="00423412"/>
    <w:rsid w:val="004343CB"/>
    <w:rsid w:val="00443402"/>
    <w:rsid w:val="0044392B"/>
    <w:rsid w:val="00444F83"/>
    <w:rsid w:val="00451EB0"/>
    <w:rsid w:val="00461AAA"/>
    <w:rsid w:val="004710C4"/>
    <w:rsid w:val="00471BA8"/>
    <w:rsid w:val="004751E0"/>
    <w:rsid w:val="00477D04"/>
    <w:rsid w:val="004828ED"/>
    <w:rsid w:val="004864D9"/>
    <w:rsid w:val="004913BF"/>
    <w:rsid w:val="004934E4"/>
    <w:rsid w:val="00494746"/>
    <w:rsid w:val="00495C50"/>
    <w:rsid w:val="004A2AFF"/>
    <w:rsid w:val="004A3BA9"/>
    <w:rsid w:val="004B105F"/>
    <w:rsid w:val="004B3660"/>
    <w:rsid w:val="004B4212"/>
    <w:rsid w:val="004C3639"/>
    <w:rsid w:val="004D09E6"/>
    <w:rsid w:val="004D48F0"/>
    <w:rsid w:val="004E1DD0"/>
    <w:rsid w:val="004E502D"/>
    <w:rsid w:val="004E5747"/>
    <w:rsid w:val="004E6BEF"/>
    <w:rsid w:val="004F1671"/>
    <w:rsid w:val="0050231A"/>
    <w:rsid w:val="00502C13"/>
    <w:rsid w:val="00503712"/>
    <w:rsid w:val="00503D4F"/>
    <w:rsid w:val="0051514A"/>
    <w:rsid w:val="00516608"/>
    <w:rsid w:val="00527FFC"/>
    <w:rsid w:val="005423C3"/>
    <w:rsid w:val="005459EB"/>
    <w:rsid w:val="005479EE"/>
    <w:rsid w:val="005519EC"/>
    <w:rsid w:val="00557EAD"/>
    <w:rsid w:val="0056335A"/>
    <w:rsid w:val="0056577D"/>
    <w:rsid w:val="005717D0"/>
    <w:rsid w:val="005750DA"/>
    <w:rsid w:val="00581C6A"/>
    <w:rsid w:val="00582EE4"/>
    <w:rsid w:val="00583D1D"/>
    <w:rsid w:val="00584A87"/>
    <w:rsid w:val="00584B26"/>
    <w:rsid w:val="00584FD0"/>
    <w:rsid w:val="00585BA6"/>
    <w:rsid w:val="00587AF8"/>
    <w:rsid w:val="005970D8"/>
    <w:rsid w:val="005C0201"/>
    <w:rsid w:val="005C112B"/>
    <w:rsid w:val="005C2D28"/>
    <w:rsid w:val="005D39CD"/>
    <w:rsid w:val="005E1DD9"/>
    <w:rsid w:val="005E64BF"/>
    <w:rsid w:val="005E730F"/>
    <w:rsid w:val="005F10F6"/>
    <w:rsid w:val="005F20C1"/>
    <w:rsid w:val="005F490A"/>
    <w:rsid w:val="00605B36"/>
    <w:rsid w:val="0061016B"/>
    <w:rsid w:val="00615B5C"/>
    <w:rsid w:val="00623C73"/>
    <w:rsid w:val="00623C7F"/>
    <w:rsid w:val="00624B50"/>
    <w:rsid w:val="00632DAD"/>
    <w:rsid w:val="00641FC3"/>
    <w:rsid w:val="00651EF2"/>
    <w:rsid w:val="006528E1"/>
    <w:rsid w:val="006571AB"/>
    <w:rsid w:val="00660A33"/>
    <w:rsid w:val="006720EB"/>
    <w:rsid w:val="00677322"/>
    <w:rsid w:val="0068127B"/>
    <w:rsid w:val="0068274A"/>
    <w:rsid w:val="00691FD6"/>
    <w:rsid w:val="00692DF5"/>
    <w:rsid w:val="006930B0"/>
    <w:rsid w:val="00693F85"/>
    <w:rsid w:val="0069459A"/>
    <w:rsid w:val="006A6143"/>
    <w:rsid w:val="006B0C85"/>
    <w:rsid w:val="006B173A"/>
    <w:rsid w:val="006B1AA7"/>
    <w:rsid w:val="006B611E"/>
    <w:rsid w:val="006B636B"/>
    <w:rsid w:val="006B6DDC"/>
    <w:rsid w:val="006C0889"/>
    <w:rsid w:val="006C534B"/>
    <w:rsid w:val="006C5553"/>
    <w:rsid w:val="006C6111"/>
    <w:rsid w:val="006E5F33"/>
    <w:rsid w:val="00702909"/>
    <w:rsid w:val="00707300"/>
    <w:rsid w:val="007075EB"/>
    <w:rsid w:val="00721D7B"/>
    <w:rsid w:val="00723BC0"/>
    <w:rsid w:val="00736EB3"/>
    <w:rsid w:val="0075464C"/>
    <w:rsid w:val="00764A61"/>
    <w:rsid w:val="00775C32"/>
    <w:rsid w:val="007807B4"/>
    <w:rsid w:val="00782ACD"/>
    <w:rsid w:val="00786799"/>
    <w:rsid w:val="00787DBB"/>
    <w:rsid w:val="0079493C"/>
    <w:rsid w:val="007A0EF8"/>
    <w:rsid w:val="007A22EE"/>
    <w:rsid w:val="007A7397"/>
    <w:rsid w:val="007B0675"/>
    <w:rsid w:val="007C4997"/>
    <w:rsid w:val="007D1E76"/>
    <w:rsid w:val="007E0CC8"/>
    <w:rsid w:val="007E1A00"/>
    <w:rsid w:val="007E6B5A"/>
    <w:rsid w:val="007F3EB9"/>
    <w:rsid w:val="007F460F"/>
    <w:rsid w:val="007F6524"/>
    <w:rsid w:val="007F754C"/>
    <w:rsid w:val="00804CAE"/>
    <w:rsid w:val="00806497"/>
    <w:rsid w:val="00813E54"/>
    <w:rsid w:val="00814C79"/>
    <w:rsid w:val="00817C5B"/>
    <w:rsid w:val="008276F0"/>
    <w:rsid w:val="00830CDD"/>
    <w:rsid w:val="0083107E"/>
    <w:rsid w:val="008340B1"/>
    <w:rsid w:val="008410E1"/>
    <w:rsid w:val="00842E65"/>
    <w:rsid w:val="00842F16"/>
    <w:rsid w:val="00843437"/>
    <w:rsid w:val="008441ED"/>
    <w:rsid w:val="00844401"/>
    <w:rsid w:val="008535A6"/>
    <w:rsid w:val="0085518B"/>
    <w:rsid w:val="00856FD9"/>
    <w:rsid w:val="008602D7"/>
    <w:rsid w:val="0086193F"/>
    <w:rsid w:val="00864EF4"/>
    <w:rsid w:val="008702DD"/>
    <w:rsid w:val="00870678"/>
    <w:rsid w:val="008711D5"/>
    <w:rsid w:val="00877AB5"/>
    <w:rsid w:val="00894C5A"/>
    <w:rsid w:val="00896332"/>
    <w:rsid w:val="008A4E34"/>
    <w:rsid w:val="008A5AE2"/>
    <w:rsid w:val="008A5EC5"/>
    <w:rsid w:val="008B05FF"/>
    <w:rsid w:val="008B512C"/>
    <w:rsid w:val="008B7556"/>
    <w:rsid w:val="008C627D"/>
    <w:rsid w:val="008D126E"/>
    <w:rsid w:val="008D2CB5"/>
    <w:rsid w:val="008D436D"/>
    <w:rsid w:val="008D59BF"/>
    <w:rsid w:val="008E1F71"/>
    <w:rsid w:val="008E76E2"/>
    <w:rsid w:val="0090077E"/>
    <w:rsid w:val="009106BF"/>
    <w:rsid w:val="00912E4C"/>
    <w:rsid w:val="00931400"/>
    <w:rsid w:val="00934309"/>
    <w:rsid w:val="009559D8"/>
    <w:rsid w:val="0098166F"/>
    <w:rsid w:val="00981F4A"/>
    <w:rsid w:val="00982531"/>
    <w:rsid w:val="0098577D"/>
    <w:rsid w:val="00992C94"/>
    <w:rsid w:val="0099467F"/>
    <w:rsid w:val="009A3424"/>
    <w:rsid w:val="009A36F6"/>
    <w:rsid w:val="009A47F0"/>
    <w:rsid w:val="009B6135"/>
    <w:rsid w:val="009C5FA4"/>
    <w:rsid w:val="009C5FBD"/>
    <w:rsid w:val="009D26BC"/>
    <w:rsid w:val="009D5B53"/>
    <w:rsid w:val="009D61FC"/>
    <w:rsid w:val="009D768A"/>
    <w:rsid w:val="009D7782"/>
    <w:rsid w:val="009E1586"/>
    <w:rsid w:val="009E6896"/>
    <w:rsid w:val="009F00BC"/>
    <w:rsid w:val="009F0179"/>
    <w:rsid w:val="009F0BEA"/>
    <w:rsid w:val="009F29F8"/>
    <w:rsid w:val="009F7BDE"/>
    <w:rsid w:val="00A0319E"/>
    <w:rsid w:val="00A0442A"/>
    <w:rsid w:val="00A11B40"/>
    <w:rsid w:val="00A12B07"/>
    <w:rsid w:val="00A13037"/>
    <w:rsid w:val="00A170AC"/>
    <w:rsid w:val="00A311E1"/>
    <w:rsid w:val="00A43C7C"/>
    <w:rsid w:val="00A50ED0"/>
    <w:rsid w:val="00A558C0"/>
    <w:rsid w:val="00A748F2"/>
    <w:rsid w:val="00A80CF5"/>
    <w:rsid w:val="00A81AB5"/>
    <w:rsid w:val="00A83CB6"/>
    <w:rsid w:val="00A92296"/>
    <w:rsid w:val="00AB047D"/>
    <w:rsid w:val="00AB2E64"/>
    <w:rsid w:val="00AB487D"/>
    <w:rsid w:val="00AB6CC9"/>
    <w:rsid w:val="00AC067D"/>
    <w:rsid w:val="00AC149F"/>
    <w:rsid w:val="00AC1980"/>
    <w:rsid w:val="00AC7A13"/>
    <w:rsid w:val="00AD286F"/>
    <w:rsid w:val="00AE48DA"/>
    <w:rsid w:val="00AE5421"/>
    <w:rsid w:val="00AF263D"/>
    <w:rsid w:val="00B00DA6"/>
    <w:rsid w:val="00B033C4"/>
    <w:rsid w:val="00B04CBE"/>
    <w:rsid w:val="00B10858"/>
    <w:rsid w:val="00B13C46"/>
    <w:rsid w:val="00B1507D"/>
    <w:rsid w:val="00B15768"/>
    <w:rsid w:val="00B1576F"/>
    <w:rsid w:val="00B1690B"/>
    <w:rsid w:val="00B16B3D"/>
    <w:rsid w:val="00B1748C"/>
    <w:rsid w:val="00B242B5"/>
    <w:rsid w:val="00B26D94"/>
    <w:rsid w:val="00B32168"/>
    <w:rsid w:val="00B331BC"/>
    <w:rsid w:val="00B361F4"/>
    <w:rsid w:val="00B36CD9"/>
    <w:rsid w:val="00B3706C"/>
    <w:rsid w:val="00B434D5"/>
    <w:rsid w:val="00B44D15"/>
    <w:rsid w:val="00B51A2E"/>
    <w:rsid w:val="00B53EAA"/>
    <w:rsid w:val="00B555B3"/>
    <w:rsid w:val="00B5670C"/>
    <w:rsid w:val="00B636C1"/>
    <w:rsid w:val="00B653D4"/>
    <w:rsid w:val="00B65684"/>
    <w:rsid w:val="00B67D09"/>
    <w:rsid w:val="00B714FB"/>
    <w:rsid w:val="00B77EDE"/>
    <w:rsid w:val="00B81FB1"/>
    <w:rsid w:val="00B838B0"/>
    <w:rsid w:val="00B842EC"/>
    <w:rsid w:val="00B879CC"/>
    <w:rsid w:val="00B92566"/>
    <w:rsid w:val="00B92649"/>
    <w:rsid w:val="00BA272D"/>
    <w:rsid w:val="00BA6C68"/>
    <w:rsid w:val="00BB0B58"/>
    <w:rsid w:val="00BB1797"/>
    <w:rsid w:val="00BB583C"/>
    <w:rsid w:val="00BC2D45"/>
    <w:rsid w:val="00BC3E9C"/>
    <w:rsid w:val="00BC4021"/>
    <w:rsid w:val="00BE0B57"/>
    <w:rsid w:val="00C01935"/>
    <w:rsid w:val="00C04855"/>
    <w:rsid w:val="00C070AD"/>
    <w:rsid w:val="00C128BC"/>
    <w:rsid w:val="00C12F95"/>
    <w:rsid w:val="00C14511"/>
    <w:rsid w:val="00C2358F"/>
    <w:rsid w:val="00C24370"/>
    <w:rsid w:val="00C26284"/>
    <w:rsid w:val="00C32636"/>
    <w:rsid w:val="00C33508"/>
    <w:rsid w:val="00C378B5"/>
    <w:rsid w:val="00C42DFF"/>
    <w:rsid w:val="00C57C4A"/>
    <w:rsid w:val="00C61E88"/>
    <w:rsid w:val="00C70341"/>
    <w:rsid w:val="00C70D05"/>
    <w:rsid w:val="00C7349B"/>
    <w:rsid w:val="00C829E0"/>
    <w:rsid w:val="00C8680A"/>
    <w:rsid w:val="00C86D39"/>
    <w:rsid w:val="00C915B4"/>
    <w:rsid w:val="00C943BC"/>
    <w:rsid w:val="00C96C9D"/>
    <w:rsid w:val="00CA0F7B"/>
    <w:rsid w:val="00CB6C4E"/>
    <w:rsid w:val="00CC2098"/>
    <w:rsid w:val="00CC6521"/>
    <w:rsid w:val="00CC71B9"/>
    <w:rsid w:val="00CD33E9"/>
    <w:rsid w:val="00CE0385"/>
    <w:rsid w:val="00CE617C"/>
    <w:rsid w:val="00CF0629"/>
    <w:rsid w:val="00CF3310"/>
    <w:rsid w:val="00CF5DAA"/>
    <w:rsid w:val="00D00509"/>
    <w:rsid w:val="00D01297"/>
    <w:rsid w:val="00D01389"/>
    <w:rsid w:val="00D042F6"/>
    <w:rsid w:val="00D05F47"/>
    <w:rsid w:val="00D126BC"/>
    <w:rsid w:val="00D16090"/>
    <w:rsid w:val="00D164C8"/>
    <w:rsid w:val="00D16628"/>
    <w:rsid w:val="00D20242"/>
    <w:rsid w:val="00D22D8B"/>
    <w:rsid w:val="00D23F86"/>
    <w:rsid w:val="00D26836"/>
    <w:rsid w:val="00D35063"/>
    <w:rsid w:val="00D439E7"/>
    <w:rsid w:val="00D43B88"/>
    <w:rsid w:val="00D459D7"/>
    <w:rsid w:val="00D47974"/>
    <w:rsid w:val="00D51827"/>
    <w:rsid w:val="00D57985"/>
    <w:rsid w:val="00D70995"/>
    <w:rsid w:val="00D71363"/>
    <w:rsid w:val="00D76ACB"/>
    <w:rsid w:val="00D77007"/>
    <w:rsid w:val="00D809C4"/>
    <w:rsid w:val="00D94CD5"/>
    <w:rsid w:val="00D94F5A"/>
    <w:rsid w:val="00D968E5"/>
    <w:rsid w:val="00DA667A"/>
    <w:rsid w:val="00DA6BF8"/>
    <w:rsid w:val="00DA7326"/>
    <w:rsid w:val="00DD5E8F"/>
    <w:rsid w:val="00DD7A5F"/>
    <w:rsid w:val="00DE12C4"/>
    <w:rsid w:val="00DE52CF"/>
    <w:rsid w:val="00DE7D2C"/>
    <w:rsid w:val="00DF7DFE"/>
    <w:rsid w:val="00E04585"/>
    <w:rsid w:val="00E109D3"/>
    <w:rsid w:val="00E13707"/>
    <w:rsid w:val="00E14A48"/>
    <w:rsid w:val="00E1524B"/>
    <w:rsid w:val="00E205DE"/>
    <w:rsid w:val="00E2485B"/>
    <w:rsid w:val="00E260A2"/>
    <w:rsid w:val="00E341D8"/>
    <w:rsid w:val="00E35A50"/>
    <w:rsid w:val="00E36E17"/>
    <w:rsid w:val="00E5338B"/>
    <w:rsid w:val="00E54E7C"/>
    <w:rsid w:val="00E55E82"/>
    <w:rsid w:val="00E562D7"/>
    <w:rsid w:val="00E57BBE"/>
    <w:rsid w:val="00E653FE"/>
    <w:rsid w:val="00E71057"/>
    <w:rsid w:val="00E72884"/>
    <w:rsid w:val="00E75094"/>
    <w:rsid w:val="00E951C4"/>
    <w:rsid w:val="00EA71E8"/>
    <w:rsid w:val="00EB38C4"/>
    <w:rsid w:val="00EB3DA8"/>
    <w:rsid w:val="00EC1AF8"/>
    <w:rsid w:val="00EC64E7"/>
    <w:rsid w:val="00ED0269"/>
    <w:rsid w:val="00ED5DE7"/>
    <w:rsid w:val="00EE2114"/>
    <w:rsid w:val="00EE40FC"/>
    <w:rsid w:val="00F02B26"/>
    <w:rsid w:val="00F04827"/>
    <w:rsid w:val="00F21C61"/>
    <w:rsid w:val="00F260DB"/>
    <w:rsid w:val="00F318B4"/>
    <w:rsid w:val="00F36CCF"/>
    <w:rsid w:val="00F43372"/>
    <w:rsid w:val="00F44274"/>
    <w:rsid w:val="00F47B33"/>
    <w:rsid w:val="00F56C5A"/>
    <w:rsid w:val="00F65C9A"/>
    <w:rsid w:val="00F70628"/>
    <w:rsid w:val="00F71907"/>
    <w:rsid w:val="00F71E5C"/>
    <w:rsid w:val="00F748CC"/>
    <w:rsid w:val="00F757B2"/>
    <w:rsid w:val="00F76FF4"/>
    <w:rsid w:val="00F833A6"/>
    <w:rsid w:val="00F854B9"/>
    <w:rsid w:val="00F920CF"/>
    <w:rsid w:val="00F971D8"/>
    <w:rsid w:val="00FA179F"/>
    <w:rsid w:val="00FA2183"/>
    <w:rsid w:val="00FA5B2F"/>
    <w:rsid w:val="00FA6C16"/>
    <w:rsid w:val="00FA75AA"/>
    <w:rsid w:val="00FB1EEE"/>
    <w:rsid w:val="00FB656A"/>
    <w:rsid w:val="00FD04B3"/>
    <w:rsid w:val="00FD12A2"/>
    <w:rsid w:val="00FD1672"/>
    <w:rsid w:val="00FD2A16"/>
    <w:rsid w:val="00FE24F9"/>
    <w:rsid w:val="00FE47CE"/>
    <w:rsid w:val="00FF0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F602CE"/>
  <w15:chartTrackingRefBased/>
  <w15:docId w15:val="{7AF97686-7B62-47B2-81F5-D9BE49E6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5C"/>
    <w:rPr>
      <w:rFonts w:ascii="Times New Roman" w:eastAsia="Times New Roman" w:hAnsi="Times New Roman"/>
      <w:sz w:val="24"/>
      <w:szCs w:val="24"/>
    </w:rPr>
  </w:style>
  <w:style w:type="paragraph" w:styleId="Ttulo1">
    <w:name w:val="heading 1"/>
    <w:basedOn w:val="Normal"/>
    <w:next w:val="Normal"/>
    <w:link w:val="Ttulo1Car"/>
    <w:qFormat/>
    <w:rsid w:val="00F71E5C"/>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link w:val="Ttulo2Car"/>
    <w:qFormat/>
    <w:rsid w:val="00F71E5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71E5C"/>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F71E5C"/>
    <w:pPr>
      <w:keepNext/>
      <w:spacing w:before="240" w:after="60"/>
      <w:outlineLvl w:val="3"/>
    </w:pPr>
    <w:rPr>
      <w:b/>
      <w:bCs/>
      <w:sz w:val="28"/>
      <w:szCs w:val="28"/>
    </w:rPr>
  </w:style>
  <w:style w:type="paragraph" w:styleId="Ttulo5">
    <w:name w:val="heading 5"/>
    <w:basedOn w:val="Normal"/>
    <w:next w:val="Normal"/>
    <w:link w:val="Ttulo5Car"/>
    <w:qFormat/>
    <w:rsid w:val="00F71E5C"/>
    <w:pPr>
      <w:keepNext/>
      <w:outlineLvl w:val="4"/>
    </w:pPr>
    <w:rPr>
      <w:rFonts w:ascii="Arial" w:hAnsi="Arial"/>
      <w:b/>
      <w:color w:val="000080"/>
      <w:sz w:val="14"/>
      <w:szCs w:val="20"/>
      <w:lang w:val="es-ES" w:eastAsia="es-ES"/>
    </w:rPr>
  </w:style>
  <w:style w:type="paragraph" w:styleId="Ttulo6">
    <w:name w:val="heading 6"/>
    <w:basedOn w:val="Normal"/>
    <w:next w:val="Normal"/>
    <w:link w:val="Ttulo6Car"/>
    <w:qFormat/>
    <w:rsid w:val="00F71E5C"/>
    <w:pPr>
      <w:keepNext/>
      <w:outlineLvl w:val="5"/>
    </w:pPr>
    <w:rPr>
      <w:rFonts w:ascii="Arial" w:hAnsi="Arial"/>
      <w:b/>
      <w:color w:val="000080"/>
      <w:sz w:val="12"/>
      <w:szCs w:val="20"/>
      <w:lang w:val="es-ES" w:eastAsia="es-ES"/>
    </w:rPr>
  </w:style>
  <w:style w:type="paragraph" w:styleId="Ttulo7">
    <w:name w:val="heading 7"/>
    <w:basedOn w:val="Normal"/>
    <w:next w:val="Normal"/>
    <w:link w:val="Ttulo7Car"/>
    <w:qFormat/>
    <w:rsid w:val="00F71E5C"/>
    <w:pPr>
      <w:keepNext/>
      <w:spacing w:after="60"/>
      <w:jc w:val="center"/>
      <w:outlineLvl w:val="6"/>
    </w:pPr>
    <w:rPr>
      <w:rFonts w:ascii="Arial" w:hAnsi="Arial" w:cs="Arial"/>
      <w:b/>
      <w:bCs/>
      <w:sz w:val="20"/>
      <w:lang w:val="es-ES" w:eastAsia="es-ES"/>
    </w:rPr>
  </w:style>
  <w:style w:type="paragraph" w:styleId="Ttulo8">
    <w:name w:val="heading 8"/>
    <w:basedOn w:val="Normal"/>
    <w:next w:val="Normal"/>
    <w:link w:val="Ttulo8Car"/>
    <w:qFormat/>
    <w:rsid w:val="00F71E5C"/>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link w:val="Ttulo9Car"/>
    <w:qFormat/>
    <w:rsid w:val="00F71E5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71E5C"/>
    <w:rPr>
      <w:rFonts w:ascii="Arial" w:eastAsia="Times New Roman" w:hAnsi="Arial" w:cs="Times New Roman"/>
      <w:b/>
      <w:spacing w:val="-3"/>
      <w:sz w:val="20"/>
      <w:szCs w:val="20"/>
      <w:lang w:eastAsia="es-ES"/>
    </w:rPr>
  </w:style>
  <w:style w:type="character" w:customStyle="1" w:styleId="Ttulo2Car">
    <w:name w:val="Título 2 Car"/>
    <w:link w:val="Ttulo2"/>
    <w:rsid w:val="00F71E5C"/>
    <w:rPr>
      <w:rFonts w:ascii="Arial" w:eastAsia="Times New Roman" w:hAnsi="Arial" w:cs="Arial"/>
      <w:b/>
      <w:bCs/>
      <w:i/>
      <w:iCs/>
      <w:sz w:val="28"/>
      <w:szCs w:val="28"/>
      <w:lang w:eastAsia="es-MX"/>
    </w:rPr>
  </w:style>
  <w:style w:type="character" w:customStyle="1" w:styleId="Ttulo3Car">
    <w:name w:val="Título 3 Car"/>
    <w:link w:val="Ttulo3"/>
    <w:rsid w:val="00F71E5C"/>
    <w:rPr>
      <w:rFonts w:ascii="Arial" w:eastAsia="Times New Roman" w:hAnsi="Arial" w:cs="Arial"/>
      <w:b/>
      <w:bCs/>
      <w:sz w:val="26"/>
      <w:szCs w:val="26"/>
      <w:lang w:eastAsia="es-MX"/>
    </w:rPr>
  </w:style>
  <w:style w:type="character" w:customStyle="1" w:styleId="Ttulo4Car">
    <w:name w:val="Título 4 Car"/>
    <w:link w:val="Ttulo4"/>
    <w:rsid w:val="00F71E5C"/>
    <w:rPr>
      <w:rFonts w:ascii="Times New Roman" w:eastAsia="Times New Roman" w:hAnsi="Times New Roman" w:cs="Times New Roman"/>
      <w:b/>
      <w:bCs/>
      <w:sz w:val="28"/>
      <w:szCs w:val="28"/>
      <w:lang w:eastAsia="es-MX"/>
    </w:rPr>
  </w:style>
  <w:style w:type="character" w:customStyle="1" w:styleId="Ttulo5Car">
    <w:name w:val="Título 5 Car"/>
    <w:link w:val="Ttulo5"/>
    <w:rsid w:val="00F71E5C"/>
    <w:rPr>
      <w:rFonts w:ascii="Arial" w:eastAsia="Times New Roman" w:hAnsi="Arial" w:cs="Times New Roman"/>
      <w:b/>
      <w:color w:val="000080"/>
      <w:sz w:val="14"/>
      <w:szCs w:val="20"/>
      <w:lang w:val="es-ES" w:eastAsia="es-ES"/>
    </w:rPr>
  </w:style>
  <w:style w:type="character" w:customStyle="1" w:styleId="Ttulo6Car">
    <w:name w:val="Título 6 Car"/>
    <w:link w:val="Ttulo6"/>
    <w:rsid w:val="00F71E5C"/>
    <w:rPr>
      <w:rFonts w:ascii="Arial" w:eastAsia="Times New Roman" w:hAnsi="Arial" w:cs="Times New Roman"/>
      <w:b/>
      <w:color w:val="000080"/>
      <w:sz w:val="12"/>
      <w:szCs w:val="20"/>
      <w:lang w:val="es-ES" w:eastAsia="es-ES"/>
    </w:rPr>
  </w:style>
  <w:style w:type="character" w:customStyle="1" w:styleId="Ttulo7Car">
    <w:name w:val="Título 7 Car"/>
    <w:link w:val="Ttulo7"/>
    <w:rsid w:val="00F71E5C"/>
    <w:rPr>
      <w:rFonts w:ascii="Arial" w:eastAsia="Times New Roman" w:hAnsi="Arial" w:cs="Arial"/>
      <w:b/>
      <w:bCs/>
      <w:sz w:val="20"/>
      <w:szCs w:val="24"/>
      <w:lang w:val="es-ES" w:eastAsia="es-ES"/>
    </w:rPr>
  </w:style>
  <w:style w:type="character" w:customStyle="1" w:styleId="Ttulo8Car">
    <w:name w:val="Título 8 Car"/>
    <w:link w:val="Ttulo8"/>
    <w:rsid w:val="00F71E5C"/>
    <w:rPr>
      <w:rFonts w:ascii="Arial" w:eastAsia="Times New Roman" w:hAnsi="Arial" w:cs="Arial"/>
      <w:b/>
      <w:bCs/>
      <w:sz w:val="16"/>
      <w:szCs w:val="24"/>
      <w:lang w:val="es-ES" w:eastAsia="es-ES"/>
    </w:rPr>
  </w:style>
  <w:style w:type="character" w:customStyle="1" w:styleId="Ttulo9Car">
    <w:name w:val="Título 9 Car"/>
    <w:link w:val="Ttulo9"/>
    <w:rsid w:val="00F71E5C"/>
    <w:rPr>
      <w:rFonts w:ascii="Arial" w:eastAsia="Times New Roman" w:hAnsi="Arial" w:cs="Arial"/>
      <w:lang w:eastAsia="es-MX"/>
    </w:rPr>
  </w:style>
  <w:style w:type="paragraph" w:styleId="Encabezado">
    <w:name w:val="header"/>
    <w:basedOn w:val="Normal"/>
    <w:link w:val="EncabezadoCar"/>
    <w:rsid w:val="00F71E5C"/>
    <w:pPr>
      <w:tabs>
        <w:tab w:val="center" w:pos="4419"/>
        <w:tab w:val="right" w:pos="8838"/>
      </w:tabs>
    </w:pPr>
  </w:style>
  <w:style w:type="character" w:customStyle="1" w:styleId="EncabezadoCar">
    <w:name w:val="Encabezado Car"/>
    <w:link w:val="Encabezado"/>
    <w:rsid w:val="00F71E5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F71E5C"/>
    <w:pPr>
      <w:tabs>
        <w:tab w:val="center" w:pos="4419"/>
        <w:tab w:val="right" w:pos="8838"/>
      </w:tabs>
    </w:pPr>
  </w:style>
  <w:style w:type="character" w:customStyle="1" w:styleId="PiedepginaCar">
    <w:name w:val="Pie de página Car"/>
    <w:link w:val="Piedepgina"/>
    <w:uiPriority w:val="99"/>
    <w:rsid w:val="00F71E5C"/>
    <w:rPr>
      <w:rFonts w:ascii="Times New Roman" w:eastAsia="Times New Roman" w:hAnsi="Times New Roman" w:cs="Times New Roman"/>
      <w:sz w:val="24"/>
      <w:szCs w:val="24"/>
      <w:lang w:eastAsia="es-MX"/>
    </w:rPr>
  </w:style>
  <w:style w:type="character" w:styleId="Nmerodepgina">
    <w:name w:val="page number"/>
    <w:basedOn w:val="Fuentedeprrafopredeter"/>
    <w:rsid w:val="00F71E5C"/>
  </w:style>
  <w:style w:type="paragraph" w:styleId="Textoindependiente">
    <w:name w:val="Body Text"/>
    <w:basedOn w:val="Normal"/>
    <w:link w:val="TextoindependienteCar"/>
    <w:rsid w:val="00F71E5C"/>
    <w:pPr>
      <w:suppressAutoHyphens/>
      <w:spacing w:before="200" w:line="320" w:lineRule="atLeast"/>
      <w:jc w:val="both"/>
    </w:pPr>
    <w:rPr>
      <w:rFonts w:ascii="Arial" w:hAnsi="Arial"/>
      <w:sz w:val="22"/>
      <w:szCs w:val="20"/>
      <w:lang w:eastAsia="es-ES"/>
    </w:rPr>
  </w:style>
  <w:style w:type="character" w:customStyle="1" w:styleId="TextoindependienteCar">
    <w:name w:val="Texto independiente Car"/>
    <w:link w:val="Textoindependiente"/>
    <w:rsid w:val="00F71E5C"/>
    <w:rPr>
      <w:rFonts w:ascii="Arial" w:eastAsia="Times New Roman" w:hAnsi="Arial" w:cs="Times New Roman"/>
      <w:szCs w:val="20"/>
      <w:lang w:eastAsia="es-ES"/>
    </w:rPr>
  </w:style>
  <w:style w:type="paragraph" w:styleId="Textoindependiente2">
    <w:name w:val="Body Text 2"/>
    <w:basedOn w:val="Normal"/>
    <w:link w:val="Textoindependiente2Car"/>
    <w:uiPriority w:val="99"/>
    <w:rsid w:val="00F71E5C"/>
    <w:pPr>
      <w:jc w:val="both"/>
    </w:pPr>
    <w:rPr>
      <w:rFonts w:ascii="Arial" w:hAnsi="Arial"/>
      <w:sz w:val="20"/>
      <w:szCs w:val="20"/>
      <w:lang w:val="es-ES" w:eastAsia="es-ES"/>
    </w:rPr>
  </w:style>
  <w:style w:type="character" w:customStyle="1" w:styleId="Textoindependiente2Car">
    <w:name w:val="Texto independiente 2 Car"/>
    <w:link w:val="Textoindependiente2"/>
    <w:uiPriority w:val="99"/>
    <w:rsid w:val="00F71E5C"/>
    <w:rPr>
      <w:rFonts w:ascii="Arial" w:eastAsia="Times New Roman" w:hAnsi="Arial" w:cs="Times New Roman"/>
      <w:sz w:val="20"/>
      <w:szCs w:val="20"/>
      <w:lang w:val="es-ES" w:eastAsia="es-ES"/>
    </w:rPr>
  </w:style>
  <w:style w:type="paragraph" w:customStyle="1" w:styleId="E01-IIIIII">
    <w:name w:val="E01 - I  II  III"/>
    <w:rsid w:val="00F71E5C"/>
    <w:pPr>
      <w:keepLines/>
      <w:widowControl w:val="0"/>
      <w:tabs>
        <w:tab w:val="left" w:pos="454"/>
      </w:tabs>
      <w:ind w:left="454" w:hanging="454"/>
      <w:outlineLvl w:val="0"/>
    </w:pPr>
    <w:rPr>
      <w:rFonts w:ascii="Arial" w:eastAsia="Times New Roman" w:hAnsi="Arial"/>
      <w:b/>
      <w:color w:val="000000"/>
      <w:bdr w:val="single" w:sz="4" w:space="0" w:color="auto"/>
      <w:shd w:val="pct25" w:color="auto" w:fill="auto"/>
      <w:lang w:val="es-ES" w:eastAsia="es-ES"/>
    </w:rPr>
  </w:style>
  <w:style w:type="paragraph" w:styleId="Textoindependiente3">
    <w:name w:val="Body Text 3"/>
    <w:basedOn w:val="Normal"/>
    <w:link w:val="Textoindependiente3Car"/>
    <w:rsid w:val="00F71E5C"/>
    <w:pPr>
      <w:spacing w:after="120"/>
    </w:pPr>
    <w:rPr>
      <w:sz w:val="16"/>
      <w:szCs w:val="16"/>
    </w:rPr>
  </w:style>
  <w:style w:type="character" w:customStyle="1" w:styleId="Textoindependiente3Car">
    <w:name w:val="Texto independiente 3 Car"/>
    <w:link w:val="Textoindependiente3"/>
    <w:rsid w:val="00F71E5C"/>
    <w:rPr>
      <w:rFonts w:ascii="Times New Roman" w:eastAsia="Times New Roman" w:hAnsi="Times New Roman" w:cs="Times New Roman"/>
      <w:sz w:val="16"/>
      <w:szCs w:val="16"/>
      <w:lang w:eastAsia="es-MX"/>
    </w:rPr>
  </w:style>
  <w:style w:type="paragraph" w:customStyle="1" w:styleId="xl15">
    <w:name w:val="xl15"/>
    <w:basedOn w:val="Normal"/>
    <w:rsid w:val="00F71E5C"/>
    <w:pPr>
      <w:spacing w:before="100" w:after="100"/>
      <w:textAlignment w:val="bottom"/>
    </w:pPr>
    <w:rPr>
      <w:rFonts w:ascii="Arial" w:hAnsi="Arial"/>
      <w:sz w:val="20"/>
      <w:szCs w:val="20"/>
      <w:lang w:val="es-ES" w:eastAsia="es-ES"/>
    </w:rPr>
  </w:style>
  <w:style w:type="paragraph" w:customStyle="1" w:styleId="bala11pts">
    <w:name w:val="bala/11 pts"/>
    <w:basedOn w:val="Normal"/>
    <w:rsid w:val="00F71E5C"/>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link w:val="SubttuloCar"/>
    <w:qFormat/>
    <w:rsid w:val="00F71E5C"/>
    <w:pPr>
      <w:keepLines/>
      <w:widowControl w:val="0"/>
      <w:jc w:val="center"/>
    </w:pPr>
    <w:rPr>
      <w:rFonts w:ascii="Arial" w:hAnsi="Arial"/>
      <w:b/>
      <w:sz w:val="20"/>
      <w:lang w:eastAsia="es-ES"/>
    </w:rPr>
  </w:style>
  <w:style w:type="character" w:customStyle="1" w:styleId="SubttuloCar">
    <w:name w:val="Subtítulo Car"/>
    <w:link w:val="Subttulo"/>
    <w:rsid w:val="00F71E5C"/>
    <w:rPr>
      <w:rFonts w:ascii="Arial" w:eastAsia="Times New Roman" w:hAnsi="Arial" w:cs="Times New Roman"/>
      <w:b/>
      <w:sz w:val="20"/>
      <w:szCs w:val="24"/>
      <w:lang w:eastAsia="es-ES"/>
    </w:rPr>
  </w:style>
  <w:style w:type="paragraph" w:customStyle="1" w:styleId="a">
    <w:basedOn w:val="Normal"/>
    <w:next w:val="Ttulo"/>
    <w:link w:val="PuestoCar"/>
    <w:qFormat/>
    <w:rsid w:val="00F71E5C"/>
    <w:pPr>
      <w:jc w:val="center"/>
    </w:pPr>
    <w:rPr>
      <w:rFonts w:ascii="Arial" w:hAnsi="Arial"/>
      <w:b/>
      <w:sz w:val="20"/>
      <w:szCs w:val="20"/>
      <w:lang w:eastAsia="es-ES"/>
    </w:rPr>
  </w:style>
  <w:style w:type="character" w:customStyle="1" w:styleId="PuestoCar">
    <w:name w:val="Puesto Car"/>
    <w:link w:val="a"/>
    <w:rsid w:val="00F71E5C"/>
    <w:rPr>
      <w:rFonts w:ascii="Arial" w:eastAsia="Times New Roman" w:hAnsi="Arial" w:cs="Times New Roman"/>
      <w:b/>
      <w:sz w:val="20"/>
      <w:szCs w:val="20"/>
      <w:lang w:eastAsia="es-ES"/>
    </w:rPr>
  </w:style>
  <w:style w:type="paragraph" w:customStyle="1" w:styleId="PARRAFO-SIN">
    <w:name w:val="PARRAFO-SIN"/>
    <w:basedOn w:val="Normal"/>
    <w:rsid w:val="00F71E5C"/>
    <w:pPr>
      <w:spacing w:before="60" w:line="300" w:lineRule="exact"/>
      <w:jc w:val="both"/>
    </w:pPr>
    <w:rPr>
      <w:sz w:val="22"/>
      <w:szCs w:val="20"/>
      <w:lang w:eastAsia="es-ES"/>
    </w:rPr>
  </w:style>
  <w:style w:type="paragraph" w:customStyle="1" w:styleId="5">
    <w:name w:val="5"/>
    <w:basedOn w:val="Normal"/>
    <w:next w:val="Sangradetextonormal"/>
    <w:rsid w:val="00F71E5C"/>
    <w:pPr>
      <w:ind w:left="567"/>
      <w:jc w:val="both"/>
    </w:pPr>
    <w:rPr>
      <w:rFonts w:ascii="Arial" w:hAnsi="Arial"/>
      <w:sz w:val="20"/>
      <w:lang w:val="es-ES" w:eastAsia="es-ES"/>
    </w:rPr>
  </w:style>
  <w:style w:type="paragraph" w:styleId="Sangradetextonormal">
    <w:name w:val="Body Text Indent"/>
    <w:basedOn w:val="Normal"/>
    <w:link w:val="SangradetextonormalCar"/>
    <w:rsid w:val="00F71E5C"/>
    <w:pPr>
      <w:spacing w:after="120"/>
      <w:ind w:left="283"/>
    </w:pPr>
  </w:style>
  <w:style w:type="character" w:customStyle="1" w:styleId="SangradetextonormalCar">
    <w:name w:val="Sangría de texto normal Car"/>
    <w:link w:val="Sangradetextonormal"/>
    <w:rsid w:val="00F71E5C"/>
    <w:rPr>
      <w:rFonts w:ascii="Times New Roman" w:eastAsia="Times New Roman" w:hAnsi="Times New Roman" w:cs="Times New Roman"/>
      <w:sz w:val="24"/>
      <w:szCs w:val="24"/>
      <w:lang w:eastAsia="es-MX"/>
    </w:rPr>
  </w:style>
  <w:style w:type="paragraph" w:customStyle="1" w:styleId="Texto">
    <w:name w:val="Texto"/>
    <w:link w:val="TextoCar"/>
    <w:qFormat/>
    <w:rsid w:val="00F71E5C"/>
    <w:pPr>
      <w:spacing w:after="360" w:line="360" w:lineRule="auto"/>
      <w:ind w:left="144" w:right="144"/>
      <w:jc w:val="both"/>
    </w:pPr>
    <w:rPr>
      <w:rFonts w:ascii="Helvetica" w:eastAsia="Times New Roman" w:hAnsi="Helvetica"/>
      <w:sz w:val="22"/>
      <w:lang w:val="es-ES_tradnl" w:eastAsia="es-ES"/>
    </w:rPr>
  </w:style>
  <w:style w:type="paragraph" w:customStyle="1" w:styleId="Textoindependiente31">
    <w:name w:val="Texto independiente 31"/>
    <w:basedOn w:val="Normal"/>
    <w:rsid w:val="00F71E5C"/>
    <w:pPr>
      <w:widowControl w:val="0"/>
      <w:jc w:val="both"/>
    </w:pPr>
    <w:rPr>
      <w:rFonts w:ascii="CG Times" w:hAnsi="CG Times"/>
      <w:szCs w:val="20"/>
      <w:lang w:eastAsia="es-ES"/>
    </w:rPr>
  </w:style>
  <w:style w:type="paragraph" w:customStyle="1" w:styleId="VIETABLANCA">
    <w:name w:val="_VIÑETA BLANCA"/>
    <w:basedOn w:val="Normal"/>
    <w:rsid w:val="00F71E5C"/>
    <w:pPr>
      <w:numPr>
        <w:numId w:val="2"/>
      </w:numPr>
      <w:spacing w:before="120" w:after="120" w:line="240" w:lineRule="exact"/>
      <w:jc w:val="both"/>
    </w:pPr>
    <w:rPr>
      <w:sz w:val="22"/>
      <w:lang w:val="es-ES" w:eastAsia="es-ES"/>
    </w:rPr>
  </w:style>
  <w:style w:type="character" w:customStyle="1" w:styleId="SIGLAS">
    <w:name w:val="_SIGLAS"/>
    <w:rsid w:val="00F71E5C"/>
    <w:rPr>
      <w:caps/>
      <w:sz w:val="20"/>
    </w:rPr>
  </w:style>
  <w:style w:type="paragraph" w:styleId="Textodebloque">
    <w:name w:val="Block Text"/>
    <w:basedOn w:val="Normal"/>
    <w:rsid w:val="00F71E5C"/>
    <w:pPr>
      <w:ind w:left="85" w:right="85"/>
      <w:jc w:val="both"/>
    </w:pPr>
    <w:rPr>
      <w:rFonts w:ascii="Arial" w:hAnsi="Arial" w:cs="Arial"/>
      <w:bCs/>
      <w:sz w:val="20"/>
      <w:lang w:val="es-ES" w:eastAsia="es-ES"/>
    </w:rPr>
  </w:style>
  <w:style w:type="paragraph" w:customStyle="1" w:styleId="Textoindependiente21">
    <w:name w:val="Texto independiente 21"/>
    <w:basedOn w:val="Normal"/>
    <w:rsid w:val="00F71E5C"/>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F71E5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F71E5C"/>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F71E5C"/>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F71E5C"/>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F71E5C"/>
    <w:pPr>
      <w:jc w:val="both"/>
    </w:pPr>
    <w:rPr>
      <w:rFonts w:ascii="Arial" w:hAnsi="Arial"/>
      <w:sz w:val="20"/>
      <w:szCs w:val="20"/>
      <w:lang w:val="es-ES_tradnl" w:eastAsia="es-ES"/>
    </w:rPr>
  </w:style>
  <w:style w:type="paragraph" w:customStyle="1" w:styleId="Encabezado4">
    <w:name w:val="Encabezado4"/>
    <w:basedOn w:val="Normal"/>
    <w:rsid w:val="00F71E5C"/>
    <w:pPr>
      <w:spacing w:after="240"/>
    </w:pPr>
    <w:rPr>
      <w:rFonts w:ascii="Arial Narrow" w:hAnsi="Arial Narrow"/>
      <w:caps/>
      <w:sz w:val="20"/>
      <w:szCs w:val="20"/>
      <w:lang w:val="es-ES_tradnl" w:eastAsia="es-ES"/>
    </w:rPr>
  </w:style>
  <w:style w:type="paragraph" w:styleId="Continuarlista">
    <w:name w:val="List Continue"/>
    <w:basedOn w:val="Normal"/>
    <w:rsid w:val="00F71E5C"/>
    <w:pPr>
      <w:spacing w:after="120"/>
      <w:ind w:left="283"/>
    </w:pPr>
    <w:rPr>
      <w:rFonts w:ascii="Arial" w:hAnsi="Arial"/>
      <w:szCs w:val="20"/>
      <w:lang w:val="es-ES_tradnl" w:eastAsia="es-ES"/>
    </w:rPr>
  </w:style>
  <w:style w:type="paragraph" w:styleId="Sangra2detindependiente">
    <w:name w:val="Body Text Indent 2"/>
    <w:basedOn w:val="Normal"/>
    <w:link w:val="Sangra2detindependienteCar"/>
    <w:rsid w:val="00F71E5C"/>
    <w:pPr>
      <w:ind w:left="3420" w:hanging="3420"/>
      <w:jc w:val="both"/>
    </w:pPr>
    <w:rPr>
      <w:lang w:val="es-ES" w:eastAsia="es-ES"/>
    </w:rPr>
  </w:style>
  <w:style w:type="character" w:customStyle="1" w:styleId="Sangra2detindependienteCar">
    <w:name w:val="Sangría 2 de t. independiente Car"/>
    <w:link w:val="Sangra2detindependiente"/>
    <w:rsid w:val="00F71E5C"/>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F71E5C"/>
    <w:pPr>
      <w:ind w:left="3060" w:hanging="3060"/>
      <w:jc w:val="both"/>
    </w:pPr>
    <w:rPr>
      <w:rFonts w:ascii="Arial" w:hAnsi="Arial" w:cs="Arial"/>
      <w:i/>
      <w:sz w:val="20"/>
      <w:lang w:val="es-ES" w:eastAsia="es-ES"/>
    </w:rPr>
  </w:style>
  <w:style w:type="character" w:customStyle="1" w:styleId="Sangra3detindependienteCar">
    <w:name w:val="Sangría 3 de t. independiente Car"/>
    <w:link w:val="Sangra3detindependiente"/>
    <w:rsid w:val="00F71E5C"/>
    <w:rPr>
      <w:rFonts w:ascii="Arial" w:eastAsia="Times New Roman" w:hAnsi="Arial" w:cs="Arial"/>
      <w:i/>
      <w:sz w:val="20"/>
      <w:szCs w:val="24"/>
      <w:lang w:val="es-ES" w:eastAsia="es-ES"/>
    </w:rPr>
  </w:style>
  <w:style w:type="paragraph" w:customStyle="1" w:styleId="xl25">
    <w:name w:val="xl25"/>
    <w:basedOn w:val="Normal"/>
    <w:rsid w:val="00F71E5C"/>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F71E5C"/>
    <w:pPr>
      <w:jc w:val="both"/>
      <w:outlineLvl w:val="1"/>
    </w:pPr>
    <w:rPr>
      <w:rFonts w:ascii="Arial" w:eastAsia="Times New Roman" w:hAnsi="Arial"/>
      <w:b/>
      <w:color w:val="000000"/>
      <w:lang w:val="es-ES" w:eastAsia="es-ES"/>
    </w:rPr>
  </w:style>
  <w:style w:type="paragraph" w:customStyle="1" w:styleId="E03-III1III2">
    <w:name w:val="E03 - III.1   III.2"/>
    <w:rsid w:val="00F71E5C"/>
    <w:pPr>
      <w:tabs>
        <w:tab w:val="left" w:pos="539"/>
      </w:tabs>
      <w:ind w:left="539" w:hanging="539"/>
      <w:outlineLvl w:val="0"/>
    </w:pPr>
    <w:rPr>
      <w:rFonts w:ascii="Arial" w:eastAsia="Times New Roman" w:hAnsi="Arial"/>
      <w:b/>
      <w:caps/>
      <w:color w:val="000000"/>
      <w:lang w:val="es-ES" w:eastAsia="es-ES"/>
    </w:rPr>
  </w:style>
  <w:style w:type="paragraph" w:customStyle="1" w:styleId="E04-TemasIII1">
    <w:name w:val="E04 - Temas  III.1"/>
    <w:rsid w:val="00F71E5C"/>
    <w:pPr>
      <w:outlineLvl w:val="1"/>
    </w:pPr>
    <w:rPr>
      <w:rFonts w:ascii="Arial" w:eastAsia="Times New Roman" w:hAnsi="Arial"/>
      <w:b/>
      <w:caps/>
      <w:color w:val="000000"/>
      <w:lang w:val="es-ES" w:eastAsia="es-ES"/>
    </w:rPr>
  </w:style>
  <w:style w:type="paragraph" w:customStyle="1" w:styleId="E05-Funcin">
    <w:name w:val="E05 - Función"/>
    <w:rsid w:val="00F71E5C"/>
    <w:pPr>
      <w:tabs>
        <w:tab w:val="left" w:pos="1162"/>
      </w:tabs>
      <w:ind w:left="1162" w:hanging="1162"/>
      <w:outlineLvl w:val="2"/>
    </w:pPr>
    <w:rPr>
      <w:rFonts w:ascii="Arial" w:eastAsia="Times New Roman" w:hAnsi="Arial"/>
      <w:b/>
      <w:color w:val="000000"/>
      <w:lang w:val="es-ES" w:eastAsia="es-ES"/>
    </w:rPr>
  </w:style>
  <w:style w:type="paragraph" w:customStyle="1" w:styleId="E06-Subfuncin">
    <w:name w:val="E06 - Subfunción"/>
    <w:rsid w:val="00F71E5C"/>
    <w:pPr>
      <w:tabs>
        <w:tab w:val="left" w:pos="1559"/>
      </w:tabs>
      <w:ind w:left="1559" w:hanging="1559"/>
      <w:jc w:val="both"/>
      <w:outlineLvl w:val="3"/>
    </w:pPr>
    <w:rPr>
      <w:rFonts w:ascii="Arial" w:eastAsia="Times New Roman" w:hAnsi="Arial"/>
      <w:color w:val="000000"/>
      <w:lang w:val="es-ES" w:eastAsia="es-ES"/>
    </w:rPr>
  </w:style>
  <w:style w:type="paragraph" w:customStyle="1" w:styleId="E07-ProgramaEspecial">
    <w:name w:val="E07 - Programa Especial"/>
    <w:rsid w:val="00F71E5C"/>
    <w:pPr>
      <w:tabs>
        <w:tab w:val="left" w:pos="2410"/>
      </w:tabs>
      <w:ind w:left="2410" w:hanging="2410"/>
      <w:jc w:val="both"/>
      <w:outlineLvl w:val="4"/>
    </w:pPr>
    <w:rPr>
      <w:rFonts w:ascii="Arial" w:eastAsia="Times New Roman" w:hAnsi="Arial"/>
      <w:color w:val="000000"/>
      <w:lang w:val="es-ES" w:eastAsia="es-ES"/>
    </w:rPr>
  </w:style>
  <w:style w:type="paragraph" w:customStyle="1" w:styleId="E08-ActividadInstitucional">
    <w:name w:val="E08 - Actividad Institucional"/>
    <w:rsid w:val="00F71E5C"/>
    <w:pPr>
      <w:tabs>
        <w:tab w:val="left" w:pos="2835"/>
      </w:tabs>
      <w:ind w:left="2835" w:hanging="2835"/>
      <w:jc w:val="both"/>
      <w:outlineLvl w:val="5"/>
    </w:pPr>
    <w:rPr>
      <w:rFonts w:ascii="Arial" w:eastAsia="Times New Roman" w:hAnsi="Arial"/>
      <w:color w:val="000000"/>
      <w:lang w:val="es-ES" w:eastAsia="es-ES"/>
    </w:rPr>
  </w:style>
  <w:style w:type="paragraph" w:customStyle="1" w:styleId="E09-Proyecto">
    <w:name w:val="E09 - Proyecto"/>
    <w:rsid w:val="00F71E5C"/>
    <w:pPr>
      <w:tabs>
        <w:tab w:val="left" w:pos="1361"/>
      </w:tabs>
      <w:ind w:left="1361" w:hanging="1361"/>
      <w:jc w:val="both"/>
      <w:outlineLvl w:val="6"/>
    </w:pPr>
    <w:rPr>
      <w:rFonts w:ascii="Arial" w:eastAsia="Times New Roman" w:hAnsi="Arial"/>
      <w:color w:val="000000"/>
      <w:lang w:eastAsia="es-ES"/>
    </w:rPr>
  </w:style>
  <w:style w:type="paragraph" w:customStyle="1" w:styleId="E10-Indicador">
    <w:name w:val="E10 - Indicador"/>
    <w:rsid w:val="00F71E5C"/>
    <w:pPr>
      <w:tabs>
        <w:tab w:val="left" w:pos="1418"/>
      </w:tabs>
      <w:ind w:left="1418" w:hanging="1418"/>
      <w:jc w:val="both"/>
      <w:outlineLvl w:val="7"/>
    </w:pPr>
    <w:rPr>
      <w:rFonts w:ascii="Arial" w:eastAsia="Times New Roman" w:hAnsi="Arial"/>
      <w:i/>
      <w:color w:val="000000"/>
      <w:lang w:val="es-ES" w:eastAsia="es-ES"/>
    </w:rPr>
  </w:style>
  <w:style w:type="paragraph" w:customStyle="1" w:styleId="AnlisisdelEjercicio">
    <w:name w:val="Análisis del Ejercicio"/>
    <w:rsid w:val="00F71E5C"/>
    <w:pPr>
      <w:tabs>
        <w:tab w:val="right" w:pos="5954"/>
      </w:tabs>
      <w:ind w:left="57"/>
    </w:pPr>
    <w:rPr>
      <w:rFonts w:ascii="Arial" w:eastAsia="Times New Roman" w:hAnsi="Arial"/>
      <w:caps/>
      <w:sz w:val="16"/>
      <w:lang w:val="es-ES" w:eastAsia="es-ES"/>
    </w:rPr>
  </w:style>
  <w:style w:type="paragraph" w:customStyle="1" w:styleId="Formatos">
    <w:name w:val="Formatos"/>
    <w:rsid w:val="00F71E5C"/>
    <w:pPr>
      <w:tabs>
        <w:tab w:val="right" w:pos="5954"/>
      </w:tabs>
      <w:ind w:left="284"/>
      <w:jc w:val="both"/>
    </w:pPr>
    <w:rPr>
      <w:rFonts w:ascii="Arial" w:eastAsia="Times New Roman" w:hAnsi="Arial"/>
      <w:sz w:val="16"/>
      <w:lang w:val="es-ES" w:eastAsia="es-ES"/>
    </w:rPr>
  </w:style>
  <w:style w:type="paragraph" w:customStyle="1" w:styleId="Tipodeinformacin">
    <w:name w:val="Tipo de información"/>
    <w:rsid w:val="00F71E5C"/>
    <w:pPr>
      <w:tabs>
        <w:tab w:val="right" w:pos="5954"/>
      </w:tabs>
      <w:ind w:left="57"/>
      <w:jc w:val="both"/>
    </w:pPr>
    <w:rPr>
      <w:rFonts w:ascii="Arial" w:eastAsia="Times New Roman" w:hAnsi="Arial"/>
      <w:b/>
      <w:caps/>
      <w:sz w:val="16"/>
      <w:lang w:val="es-ES" w:eastAsia="es-ES"/>
    </w:rPr>
  </w:style>
  <w:style w:type="paragraph" w:customStyle="1" w:styleId="Cabeza">
    <w:name w:val="Cabeza"/>
    <w:rsid w:val="00F71E5C"/>
    <w:rPr>
      <w:rFonts w:ascii="Arial" w:eastAsia="Times New Roman" w:hAnsi="Arial"/>
      <w:color w:val="000000"/>
      <w:lang w:eastAsia="es-ES"/>
    </w:rPr>
  </w:style>
  <w:style w:type="paragraph" w:customStyle="1" w:styleId="Clave">
    <w:name w:val="Clave"/>
    <w:rsid w:val="00F71E5C"/>
    <w:pPr>
      <w:spacing w:before="40"/>
      <w:jc w:val="right"/>
    </w:pPr>
    <w:rPr>
      <w:rFonts w:ascii="Arial" w:eastAsia="Times New Roman" w:hAnsi="Arial" w:cs="Arial"/>
      <w:b/>
      <w:sz w:val="22"/>
      <w:lang w:val="es-ES" w:eastAsia="es-ES"/>
    </w:rPr>
  </w:style>
  <w:style w:type="paragraph" w:customStyle="1" w:styleId="InterlineadoCerrado">
    <w:name w:val="InterlineadoCerrado"/>
    <w:rsid w:val="00F71E5C"/>
    <w:pPr>
      <w:spacing w:line="200" w:lineRule="exact"/>
    </w:pPr>
    <w:rPr>
      <w:rFonts w:ascii="Arial" w:eastAsia="Times New Roman" w:hAnsi="Arial"/>
      <w:noProof/>
      <w:lang w:val="es-ES" w:eastAsia="es-ES"/>
    </w:rPr>
  </w:style>
  <w:style w:type="paragraph" w:customStyle="1" w:styleId="Nombre">
    <w:name w:val="Nombre"/>
    <w:rsid w:val="00F71E5C"/>
    <w:pPr>
      <w:jc w:val="center"/>
    </w:pPr>
    <w:rPr>
      <w:rFonts w:ascii="Arial" w:eastAsia="Times New Roman" w:hAnsi="Arial" w:cs="Arial"/>
      <w:b/>
      <w:bCs/>
      <w:sz w:val="24"/>
      <w:lang w:val="es-ES" w:eastAsia="es-ES"/>
    </w:rPr>
  </w:style>
  <w:style w:type="paragraph" w:customStyle="1" w:styleId="CabezaIndice">
    <w:name w:val="CabezaIndice"/>
    <w:rsid w:val="00F71E5C"/>
    <w:pPr>
      <w:spacing w:before="120" w:after="120" w:line="200" w:lineRule="exact"/>
      <w:jc w:val="center"/>
    </w:pPr>
    <w:rPr>
      <w:rFonts w:ascii="Arial" w:eastAsia="Times New Roman" w:hAnsi="Arial" w:cs="Arial"/>
      <w:b/>
      <w:bCs/>
      <w:sz w:val="16"/>
      <w:lang w:eastAsia="es-ES"/>
    </w:rPr>
  </w:style>
  <w:style w:type="paragraph" w:customStyle="1" w:styleId="InterlineadoCerrado4">
    <w:name w:val="InterlineadoCerrado(4)"/>
    <w:basedOn w:val="InterlineadoCerrado"/>
    <w:rsid w:val="00F71E5C"/>
    <w:pPr>
      <w:spacing w:line="60" w:lineRule="exact"/>
    </w:pPr>
  </w:style>
  <w:style w:type="character" w:styleId="Hipervnculo">
    <w:name w:val="Hyperlink"/>
    <w:rsid w:val="00F71E5C"/>
    <w:rPr>
      <w:color w:val="0000FF"/>
      <w:u w:val="single"/>
    </w:rPr>
  </w:style>
  <w:style w:type="paragraph" w:customStyle="1" w:styleId="Body">
    <w:name w:val="Body"/>
    <w:aliases w:val="Text"/>
    <w:basedOn w:val="Normal"/>
    <w:rsid w:val="00F71E5C"/>
    <w:pPr>
      <w:jc w:val="both"/>
    </w:pPr>
    <w:rPr>
      <w:rFonts w:ascii="Arial" w:hAnsi="Arial"/>
      <w:sz w:val="20"/>
      <w:szCs w:val="20"/>
      <w:lang w:val="es-ES_tradnl" w:eastAsia="es-ES"/>
    </w:rPr>
  </w:style>
  <w:style w:type="paragraph" w:customStyle="1" w:styleId="BULET">
    <w:name w:val="BULET"/>
    <w:basedOn w:val="Normal"/>
    <w:rsid w:val="00F71E5C"/>
    <w:pPr>
      <w:numPr>
        <w:numId w:val="3"/>
      </w:numPr>
    </w:pPr>
    <w:rPr>
      <w:lang w:val="es-ES" w:eastAsia="es-ES"/>
    </w:rPr>
  </w:style>
  <w:style w:type="paragraph" w:customStyle="1" w:styleId="N1">
    <w:name w:val="N1"/>
    <w:basedOn w:val="Normal"/>
    <w:rsid w:val="00F71E5C"/>
    <w:pPr>
      <w:keepNext/>
      <w:spacing w:before="240" w:after="120"/>
    </w:pPr>
    <w:rPr>
      <w:rFonts w:ascii="Arial" w:hAnsi="Arial"/>
      <w:b/>
      <w:sz w:val="20"/>
      <w:szCs w:val="20"/>
      <w:lang w:eastAsia="es-ES"/>
    </w:rPr>
  </w:style>
  <w:style w:type="character" w:styleId="Hipervnculovisitado">
    <w:name w:val="FollowedHyperlink"/>
    <w:rsid w:val="00F71E5C"/>
    <w:rPr>
      <w:color w:val="800080"/>
      <w:u w:val="single"/>
    </w:rPr>
  </w:style>
  <w:style w:type="paragraph" w:customStyle="1" w:styleId="BALA0">
    <w:name w:val="BALA"/>
    <w:basedOn w:val="Normal"/>
    <w:rsid w:val="00F71E5C"/>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F71E5C"/>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F71E5C"/>
    <w:pPr>
      <w:ind w:left="567"/>
      <w:jc w:val="both"/>
    </w:pPr>
    <w:rPr>
      <w:rFonts w:ascii="Arial" w:hAnsi="Arial"/>
      <w:sz w:val="20"/>
      <w:lang w:val="es-ES" w:eastAsia="es-ES"/>
    </w:rPr>
  </w:style>
  <w:style w:type="paragraph" w:styleId="Textodeglobo">
    <w:name w:val="Balloon Text"/>
    <w:basedOn w:val="Normal"/>
    <w:link w:val="TextodegloboCar"/>
    <w:semiHidden/>
    <w:rsid w:val="00F71E5C"/>
    <w:rPr>
      <w:rFonts w:ascii="Tahoma" w:hAnsi="Tahoma" w:cs="Tahoma"/>
      <w:sz w:val="16"/>
      <w:szCs w:val="16"/>
    </w:rPr>
  </w:style>
  <w:style w:type="character" w:customStyle="1" w:styleId="TextodegloboCar">
    <w:name w:val="Texto de globo Car"/>
    <w:link w:val="Textodeglobo"/>
    <w:semiHidden/>
    <w:rsid w:val="00F71E5C"/>
    <w:rPr>
      <w:rFonts w:ascii="Tahoma" w:eastAsia="Times New Roman" w:hAnsi="Tahoma" w:cs="Tahoma"/>
      <w:sz w:val="16"/>
      <w:szCs w:val="16"/>
      <w:lang w:eastAsia="es-MX"/>
    </w:rPr>
  </w:style>
  <w:style w:type="table" w:styleId="Tablaconcuadrcula">
    <w:name w:val="Table Grid"/>
    <w:basedOn w:val="Tablanormal"/>
    <w:uiPriority w:val="39"/>
    <w:rsid w:val="00F71E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F71E5C"/>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F71E5C"/>
    <w:pPr>
      <w:numPr>
        <w:numId w:val="6"/>
      </w:numPr>
      <w:tabs>
        <w:tab w:val="left" w:pos="284"/>
      </w:tabs>
      <w:spacing w:before="60" w:after="60" w:line="240" w:lineRule="exact"/>
      <w:jc w:val="both"/>
    </w:pPr>
    <w:rPr>
      <w:rFonts w:ascii="EurekaSans-Light" w:eastAsia="Times New Roman" w:hAnsi="EurekaSans-Light"/>
      <w:sz w:val="24"/>
      <w:szCs w:val="24"/>
      <w:lang w:val="en-US" w:eastAsia="es-ES_tradnl"/>
    </w:rPr>
  </w:style>
  <w:style w:type="character" w:customStyle="1" w:styleId="Vieta1Car">
    <w:name w:val="Viñeta 1 Car"/>
    <w:rsid w:val="00F71E5C"/>
    <w:rPr>
      <w:rFonts w:ascii="EurekaSans-Light" w:hAnsi="EurekaSans-Light"/>
      <w:sz w:val="24"/>
      <w:szCs w:val="24"/>
      <w:lang w:val="en-US" w:eastAsia="es-ES_tradnl" w:bidi="ar-SA"/>
    </w:rPr>
  </w:style>
  <w:style w:type="paragraph" w:styleId="Textonotapie">
    <w:name w:val="footnote text"/>
    <w:basedOn w:val="Normal"/>
    <w:link w:val="TextonotapieCar"/>
    <w:semiHidden/>
    <w:rsid w:val="00F71E5C"/>
    <w:rPr>
      <w:sz w:val="20"/>
      <w:szCs w:val="20"/>
    </w:rPr>
  </w:style>
  <w:style w:type="character" w:customStyle="1" w:styleId="TextonotapieCar">
    <w:name w:val="Texto nota pie Car"/>
    <w:link w:val="Textonotapie"/>
    <w:semiHidden/>
    <w:rsid w:val="00F71E5C"/>
    <w:rPr>
      <w:rFonts w:ascii="Times New Roman" w:eastAsia="Times New Roman" w:hAnsi="Times New Roman" w:cs="Times New Roman"/>
      <w:sz w:val="20"/>
      <w:szCs w:val="20"/>
      <w:lang w:eastAsia="es-MX"/>
    </w:rPr>
  </w:style>
  <w:style w:type="character" w:styleId="Refdenotaalpie">
    <w:name w:val="footnote reference"/>
    <w:semiHidden/>
    <w:rsid w:val="00F71E5C"/>
    <w:rPr>
      <w:vertAlign w:val="superscript"/>
    </w:rPr>
  </w:style>
  <w:style w:type="paragraph" w:styleId="Textonotaalfinal">
    <w:name w:val="endnote text"/>
    <w:basedOn w:val="Normal"/>
    <w:link w:val="TextonotaalfinalCar"/>
    <w:semiHidden/>
    <w:rsid w:val="00F71E5C"/>
    <w:rPr>
      <w:sz w:val="20"/>
      <w:szCs w:val="20"/>
    </w:rPr>
  </w:style>
  <w:style w:type="character" w:customStyle="1" w:styleId="TextonotaalfinalCar">
    <w:name w:val="Texto nota al final Car"/>
    <w:link w:val="Textonotaalfinal"/>
    <w:semiHidden/>
    <w:rsid w:val="00F71E5C"/>
    <w:rPr>
      <w:rFonts w:ascii="Times New Roman" w:eastAsia="Times New Roman" w:hAnsi="Times New Roman" w:cs="Times New Roman"/>
      <w:sz w:val="20"/>
      <w:szCs w:val="20"/>
      <w:lang w:eastAsia="es-MX"/>
    </w:rPr>
  </w:style>
  <w:style w:type="character" w:styleId="Refdenotaalfinal">
    <w:name w:val="endnote reference"/>
    <w:semiHidden/>
    <w:rsid w:val="00F71E5C"/>
    <w:rPr>
      <w:vertAlign w:val="superscript"/>
    </w:rPr>
  </w:style>
  <w:style w:type="paragraph" w:customStyle="1" w:styleId="Nmero">
    <w:name w:val="Número"/>
    <w:basedOn w:val="Normal"/>
    <w:rsid w:val="00F71E5C"/>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F71E5C"/>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F71E5C"/>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F71E5C"/>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F71E5C"/>
    <w:pPr>
      <w:keepNext/>
      <w:jc w:val="both"/>
    </w:pPr>
    <w:rPr>
      <w:rFonts w:ascii="Arial" w:hAnsi="Arial"/>
      <w:b/>
      <w:sz w:val="20"/>
      <w:szCs w:val="20"/>
      <w:lang w:val="es-ES_tradnl" w:eastAsia="es-ES"/>
    </w:rPr>
  </w:style>
  <w:style w:type="paragraph" w:customStyle="1" w:styleId="Body3">
    <w:name w:val="Body3"/>
    <w:aliases w:val="Text3,2"/>
    <w:basedOn w:val="Normal"/>
    <w:rsid w:val="00F71E5C"/>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F71E5C"/>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F71E5C"/>
    <w:pPr>
      <w:ind w:left="454" w:hanging="454"/>
      <w:jc w:val="both"/>
    </w:pPr>
    <w:rPr>
      <w:rFonts w:ascii="Arial" w:hAnsi="Arial"/>
      <w:sz w:val="20"/>
      <w:szCs w:val="20"/>
      <w:lang w:val="es-ES_tradnl" w:eastAsia="es-ES"/>
    </w:rPr>
  </w:style>
  <w:style w:type="paragraph" w:customStyle="1" w:styleId="Default">
    <w:name w:val="Default"/>
    <w:rsid w:val="00F71E5C"/>
    <w:pPr>
      <w:widowControl w:val="0"/>
      <w:autoSpaceDE w:val="0"/>
      <w:autoSpaceDN w:val="0"/>
      <w:adjustRightInd w:val="0"/>
    </w:pPr>
    <w:rPr>
      <w:rFonts w:ascii="Arial,Bold" w:eastAsia="Times New Roman" w:hAnsi="Arial,Bold"/>
      <w:lang w:val="es-ES" w:eastAsia="es-ES"/>
    </w:rPr>
  </w:style>
  <w:style w:type="character" w:styleId="Refdecomentario">
    <w:name w:val="annotation reference"/>
    <w:semiHidden/>
    <w:rsid w:val="00F71E5C"/>
    <w:rPr>
      <w:sz w:val="16"/>
      <w:szCs w:val="16"/>
    </w:rPr>
  </w:style>
  <w:style w:type="paragraph" w:styleId="Textocomentario">
    <w:name w:val="annotation text"/>
    <w:basedOn w:val="Normal"/>
    <w:link w:val="TextocomentarioCar"/>
    <w:semiHidden/>
    <w:rsid w:val="00F71E5C"/>
    <w:rPr>
      <w:sz w:val="20"/>
      <w:szCs w:val="20"/>
    </w:rPr>
  </w:style>
  <w:style w:type="character" w:customStyle="1" w:styleId="TextocomentarioCar">
    <w:name w:val="Texto comentario Car"/>
    <w:link w:val="Textocomentario"/>
    <w:semiHidden/>
    <w:rsid w:val="00F71E5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semiHidden/>
    <w:rsid w:val="00F71E5C"/>
    <w:rPr>
      <w:b/>
      <w:bCs/>
    </w:rPr>
  </w:style>
  <w:style w:type="character" w:customStyle="1" w:styleId="AsuntodelcomentarioCar">
    <w:name w:val="Asunto del comentario Car"/>
    <w:link w:val="Asuntodelcomentario"/>
    <w:semiHidden/>
    <w:rsid w:val="00F71E5C"/>
    <w:rPr>
      <w:rFonts w:ascii="Times New Roman" w:eastAsia="Times New Roman" w:hAnsi="Times New Roman" w:cs="Times New Roman"/>
      <w:b/>
      <w:bCs/>
      <w:sz w:val="20"/>
      <w:szCs w:val="20"/>
      <w:lang w:eastAsia="es-MX"/>
    </w:rPr>
  </w:style>
  <w:style w:type="paragraph" w:customStyle="1" w:styleId="CarCar1">
    <w:name w:val="Car Car1"/>
    <w:basedOn w:val="Normal"/>
    <w:next w:val="Normal"/>
    <w:rsid w:val="00F71E5C"/>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F71E5C"/>
    <w:pPr>
      <w:ind w:left="720"/>
      <w:contextualSpacing/>
    </w:pPr>
  </w:style>
  <w:style w:type="paragraph" w:customStyle="1" w:styleId="Epgrafe">
    <w:name w:val="Epígrafe"/>
    <w:basedOn w:val="Normal"/>
    <w:next w:val="Normal"/>
    <w:unhideWhenUsed/>
    <w:qFormat/>
    <w:rsid w:val="00F71E5C"/>
    <w:pPr>
      <w:spacing w:after="200"/>
    </w:pPr>
    <w:rPr>
      <w:b/>
      <w:bCs/>
      <w:color w:val="4F81BD"/>
      <w:sz w:val="18"/>
      <w:szCs w:val="18"/>
    </w:rPr>
  </w:style>
  <w:style w:type="character" w:styleId="Textoennegrita">
    <w:name w:val="Strong"/>
    <w:qFormat/>
    <w:rsid w:val="00F71E5C"/>
    <w:rPr>
      <w:b/>
      <w:bCs/>
    </w:rPr>
  </w:style>
  <w:style w:type="paragraph" w:customStyle="1" w:styleId="m-935168839506812550gmail-msolistparagraph">
    <w:name w:val="m_-935168839506812550gmail-msolistparagraph"/>
    <w:basedOn w:val="Normal"/>
    <w:rsid w:val="00F71E5C"/>
    <w:pPr>
      <w:spacing w:before="100" w:beforeAutospacing="1" w:after="100" w:afterAutospacing="1"/>
    </w:pPr>
  </w:style>
  <w:style w:type="paragraph" w:customStyle="1" w:styleId="p0">
    <w:name w:val="p0"/>
    <w:basedOn w:val="Normal"/>
    <w:rsid w:val="00F71E5C"/>
    <w:pPr>
      <w:keepLines/>
      <w:spacing w:before="240"/>
      <w:jc w:val="both"/>
    </w:pPr>
    <w:rPr>
      <w:rFonts w:ascii="Arial" w:hAnsi="Arial"/>
      <w:szCs w:val="20"/>
      <w:lang w:val="es-ES_tradnl" w:eastAsia="es-ES"/>
    </w:rPr>
  </w:style>
  <w:style w:type="paragraph" w:customStyle="1" w:styleId="p02">
    <w:name w:val="p02"/>
    <w:basedOn w:val="Normal"/>
    <w:next w:val="p0"/>
    <w:rsid w:val="00F71E5C"/>
    <w:pPr>
      <w:keepLines/>
      <w:spacing w:before="240"/>
      <w:ind w:right="11"/>
      <w:jc w:val="both"/>
    </w:pPr>
    <w:rPr>
      <w:rFonts w:ascii="Univers" w:hAnsi="Univers"/>
      <w:color w:val="0000FF"/>
      <w:szCs w:val="20"/>
      <w:lang w:val="es-ES_tradnl" w:eastAsia="es-ES"/>
    </w:rPr>
  </w:style>
  <w:style w:type="table" w:customStyle="1" w:styleId="TableNormal">
    <w:name w:val="Table Normal"/>
    <w:uiPriority w:val="2"/>
    <w:semiHidden/>
    <w:unhideWhenUsed/>
    <w:qFormat/>
    <w:rsid w:val="00F71E5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E5C"/>
    <w:pPr>
      <w:widowControl w:val="0"/>
      <w:autoSpaceDE w:val="0"/>
      <w:autoSpaceDN w:val="0"/>
    </w:pPr>
    <w:rPr>
      <w:rFonts w:ascii="Arial" w:eastAsia="Arial" w:hAnsi="Arial" w:cs="Arial"/>
      <w:sz w:val="22"/>
      <w:szCs w:val="22"/>
      <w:lang w:val="es-ES" w:eastAsia="en-US"/>
    </w:rPr>
  </w:style>
  <w:style w:type="paragraph" w:styleId="Ttulo">
    <w:name w:val="Title"/>
    <w:basedOn w:val="Normal"/>
    <w:next w:val="Normal"/>
    <w:link w:val="TtuloCar"/>
    <w:uiPriority w:val="10"/>
    <w:qFormat/>
    <w:rsid w:val="00F71E5C"/>
    <w:pPr>
      <w:contextualSpacing/>
    </w:pPr>
    <w:rPr>
      <w:rFonts w:ascii="Calibri Light" w:hAnsi="Calibri Light"/>
      <w:spacing w:val="-10"/>
      <w:kern w:val="28"/>
      <w:sz w:val="56"/>
      <w:szCs w:val="56"/>
    </w:rPr>
  </w:style>
  <w:style w:type="character" w:customStyle="1" w:styleId="TtuloCar">
    <w:name w:val="Título Car"/>
    <w:link w:val="Ttulo"/>
    <w:uiPriority w:val="10"/>
    <w:rsid w:val="00F71E5C"/>
    <w:rPr>
      <w:rFonts w:ascii="Calibri Light" w:eastAsia="Times New Roman" w:hAnsi="Calibri Light" w:cs="Times New Roman"/>
      <w:spacing w:val="-10"/>
      <w:kern w:val="28"/>
      <w:sz w:val="56"/>
      <w:szCs w:val="56"/>
      <w:lang w:eastAsia="es-MX"/>
    </w:rPr>
  </w:style>
  <w:style w:type="paragraph" w:customStyle="1" w:styleId="n01">
    <w:name w:val="n01"/>
    <w:basedOn w:val="Normal"/>
    <w:rsid w:val="000D59C3"/>
    <w:pPr>
      <w:keepLines/>
      <w:spacing w:before="240"/>
      <w:ind w:left="720" w:hanging="720"/>
      <w:jc w:val="both"/>
    </w:pPr>
    <w:rPr>
      <w:rFonts w:ascii="Univers (W1)" w:hAnsi="Univers (W1)" w:cs="Arial"/>
      <w:color w:val="800080"/>
      <w:lang w:val="es-ES_tradnl" w:eastAsia="es-ES"/>
    </w:rPr>
  </w:style>
  <w:style w:type="character" w:styleId="nfasis">
    <w:name w:val="Emphasis"/>
    <w:basedOn w:val="Fuentedeprrafopredeter"/>
    <w:uiPriority w:val="20"/>
    <w:qFormat/>
    <w:rsid w:val="006C0889"/>
    <w:rPr>
      <w:i/>
      <w:iCs/>
    </w:rPr>
  </w:style>
  <w:style w:type="character" w:customStyle="1" w:styleId="TextoCar">
    <w:name w:val="Texto Car"/>
    <w:link w:val="Texto"/>
    <w:locked/>
    <w:rsid w:val="006B173A"/>
    <w:rPr>
      <w:rFonts w:ascii="Helvetica" w:eastAsia="Times New Roman" w:hAnsi="Helvetica"/>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40">
      <w:bodyDiv w:val="1"/>
      <w:marLeft w:val="0"/>
      <w:marRight w:val="0"/>
      <w:marTop w:val="0"/>
      <w:marBottom w:val="0"/>
      <w:divBdr>
        <w:top w:val="none" w:sz="0" w:space="0" w:color="auto"/>
        <w:left w:val="none" w:sz="0" w:space="0" w:color="auto"/>
        <w:bottom w:val="none" w:sz="0" w:space="0" w:color="auto"/>
        <w:right w:val="none" w:sz="0" w:space="0" w:color="auto"/>
      </w:divBdr>
    </w:div>
    <w:div w:id="95440931">
      <w:bodyDiv w:val="1"/>
      <w:marLeft w:val="0"/>
      <w:marRight w:val="0"/>
      <w:marTop w:val="0"/>
      <w:marBottom w:val="0"/>
      <w:divBdr>
        <w:top w:val="none" w:sz="0" w:space="0" w:color="auto"/>
        <w:left w:val="none" w:sz="0" w:space="0" w:color="auto"/>
        <w:bottom w:val="none" w:sz="0" w:space="0" w:color="auto"/>
        <w:right w:val="none" w:sz="0" w:space="0" w:color="auto"/>
      </w:divBdr>
    </w:div>
    <w:div w:id="204490959">
      <w:bodyDiv w:val="1"/>
      <w:marLeft w:val="0"/>
      <w:marRight w:val="0"/>
      <w:marTop w:val="0"/>
      <w:marBottom w:val="0"/>
      <w:divBdr>
        <w:top w:val="none" w:sz="0" w:space="0" w:color="auto"/>
        <w:left w:val="none" w:sz="0" w:space="0" w:color="auto"/>
        <w:bottom w:val="none" w:sz="0" w:space="0" w:color="auto"/>
        <w:right w:val="none" w:sz="0" w:space="0" w:color="auto"/>
      </w:divBdr>
    </w:div>
    <w:div w:id="258300298">
      <w:bodyDiv w:val="1"/>
      <w:marLeft w:val="0"/>
      <w:marRight w:val="0"/>
      <w:marTop w:val="0"/>
      <w:marBottom w:val="0"/>
      <w:divBdr>
        <w:top w:val="none" w:sz="0" w:space="0" w:color="auto"/>
        <w:left w:val="none" w:sz="0" w:space="0" w:color="auto"/>
        <w:bottom w:val="none" w:sz="0" w:space="0" w:color="auto"/>
        <w:right w:val="none" w:sz="0" w:space="0" w:color="auto"/>
      </w:divBdr>
    </w:div>
    <w:div w:id="264196262">
      <w:bodyDiv w:val="1"/>
      <w:marLeft w:val="0"/>
      <w:marRight w:val="0"/>
      <w:marTop w:val="0"/>
      <w:marBottom w:val="0"/>
      <w:divBdr>
        <w:top w:val="none" w:sz="0" w:space="0" w:color="auto"/>
        <w:left w:val="none" w:sz="0" w:space="0" w:color="auto"/>
        <w:bottom w:val="none" w:sz="0" w:space="0" w:color="auto"/>
        <w:right w:val="none" w:sz="0" w:space="0" w:color="auto"/>
      </w:divBdr>
    </w:div>
    <w:div w:id="296884269">
      <w:bodyDiv w:val="1"/>
      <w:marLeft w:val="0"/>
      <w:marRight w:val="0"/>
      <w:marTop w:val="0"/>
      <w:marBottom w:val="0"/>
      <w:divBdr>
        <w:top w:val="none" w:sz="0" w:space="0" w:color="auto"/>
        <w:left w:val="none" w:sz="0" w:space="0" w:color="auto"/>
        <w:bottom w:val="none" w:sz="0" w:space="0" w:color="auto"/>
        <w:right w:val="none" w:sz="0" w:space="0" w:color="auto"/>
      </w:divBdr>
    </w:div>
    <w:div w:id="319432762">
      <w:bodyDiv w:val="1"/>
      <w:marLeft w:val="0"/>
      <w:marRight w:val="0"/>
      <w:marTop w:val="0"/>
      <w:marBottom w:val="0"/>
      <w:divBdr>
        <w:top w:val="none" w:sz="0" w:space="0" w:color="auto"/>
        <w:left w:val="none" w:sz="0" w:space="0" w:color="auto"/>
        <w:bottom w:val="none" w:sz="0" w:space="0" w:color="auto"/>
        <w:right w:val="none" w:sz="0" w:space="0" w:color="auto"/>
      </w:divBdr>
    </w:div>
    <w:div w:id="348332418">
      <w:bodyDiv w:val="1"/>
      <w:marLeft w:val="0"/>
      <w:marRight w:val="0"/>
      <w:marTop w:val="0"/>
      <w:marBottom w:val="0"/>
      <w:divBdr>
        <w:top w:val="none" w:sz="0" w:space="0" w:color="auto"/>
        <w:left w:val="none" w:sz="0" w:space="0" w:color="auto"/>
        <w:bottom w:val="none" w:sz="0" w:space="0" w:color="auto"/>
        <w:right w:val="none" w:sz="0" w:space="0" w:color="auto"/>
      </w:divBdr>
    </w:div>
    <w:div w:id="425541228">
      <w:bodyDiv w:val="1"/>
      <w:marLeft w:val="0"/>
      <w:marRight w:val="0"/>
      <w:marTop w:val="0"/>
      <w:marBottom w:val="0"/>
      <w:divBdr>
        <w:top w:val="none" w:sz="0" w:space="0" w:color="auto"/>
        <w:left w:val="none" w:sz="0" w:space="0" w:color="auto"/>
        <w:bottom w:val="none" w:sz="0" w:space="0" w:color="auto"/>
        <w:right w:val="none" w:sz="0" w:space="0" w:color="auto"/>
      </w:divBdr>
    </w:div>
    <w:div w:id="434902477">
      <w:bodyDiv w:val="1"/>
      <w:marLeft w:val="0"/>
      <w:marRight w:val="0"/>
      <w:marTop w:val="0"/>
      <w:marBottom w:val="0"/>
      <w:divBdr>
        <w:top w:val="none" w:sz="0" w:space="0" w:color="auto"/>
        <w:left w:val="none" w:sz="0" w:space="0" w:color="auto"/>
        <w:bottom w:val="none" w:sz="0" w:space="0" w:color="auto"/>
        <w:right w:val="none" w:sz="0" w:space="0" w:color="auto"/>
      </w:divBdr>
    </w:div>
    <w:div w:id="450973165">
      <w:bodyDiv w:val="1"/>
      <w:marLeft w:val="0"/>
      <w:marRight w:val="0"/>
      <w:marTop w:val="0"/>
      <w:marBottom w:val="0"/>
      <w:divBdr>
        <w:top w:val="none" w:sz="0" w:space="0" w:color="auto"/>
        <w:left w:val="none" w:sz="0" w:space="0" w:color="auto"/>
        <w:bottom w:val="none" w:sz="0" w:space="0" w:color="auto"/>
        <w:right w:val="none" w:sz="0" w:space="0" w:color="auto"/>
      </w:divBdr>
    </w:div>
    <w:div w:id="495346459">
      <w:bodyDiv w:val="1"/>
      <w:marLeft w:val="0"/>
      <w:marRight w:val="0"/>
      <w:marTop w:val="0"/>
      <w:marBottom w:val="0"/>
      <w:divBdr>
        <w:top w:val="none" w:sz="0" w:space="0" w:color="auto"/>
        <w:left w:val="none" w:sz="0" w:space="0" w:color="auto"/>
        <w:bottom w:val="none" w:sz="0" w:space="0" w:color="auto"/>
        <w:right w:val="none" w:sz="0" w:space="0" w:color="auto"/>
      </w:divBdr>
    </w:div>
    <w:div w:id="554663459">
      <w:bodyDiv w:val="1"/>
      <w:marLeft w:val="0"/>
      <w:marRight w:val="0"/>
      <w:marTop w:val="0"/>
      <w:marBottom w:val="0"/>
      <w:divBdr>
        <w:top w:val="none" w:sz="0" w:space="0" w:color="auto"/>
        <w:left w:val="none" w:sz="0" w:space="0" w:color="auto"/>
        <w:bottom w:val="none" w:sz="0" w:space="0" w:color="auto"/>
        <w:right w:val="none" w:sz="0" w:space="0" w:color="auto"/>
      </w:divBdr>
    </w:div>
    <w:div w:id="577832913">
      <w:bodyDiv w:val="1"/>
      <w:marLeft w:val="0"/>
      <w:marRight w:val="0"/>
      <w:marTop w:val="0"/>
      <w:marBottom w:val="0"/>
      <w:divBdr>
        <w:top w:val="none" w:sz="0" w:space="0" w:color="auto"/>
        <w:left w:val="none" w:sz="0" w:space="0" w:color="auto"/>
        <w:bottom w:val="none" w:sz="0" w:space="0" w:color="auto"/>
        <w:right w:val="none" w:sz="0" w:space="0" w:color="auto"/>
      </w:divBdr>
      <w:divsChild>
        <w:div w:id="1317605658">
          <w:marLeft w:val="0"/>
          <w:marRight w:val="0"/>
          <w:marTop w:val="0"/>
          <w:marBottom w:val="0"/>
          <w:divBdr>
            <w:top w:val="none" w:sz="0" w:space="0" w:color="auto"/>
            <w:left w:val="none" w:sz="0" w:space="0" w:color="auto"/>
            <w:bottom w:val="none" w:sz="0" w:space="0" w:color="auto"/>
            <w:right w:val="none" w:sz="0" w:space="0" w:color="auto"/>
          </w:divBdr>
        </w:div>
        <w:div w:id="277030095">
          <w:marLeft w:val="0"/>
          <w:marRight w:val="0"/>
          <w:marTop w:val="0"/>
          <w:marBottom w:val="0"/>
          <w:divBdr>
            <w:top w:val="none" w:sz="0" w:space="0" w:color="auto"/>
            <w:left w:val="none" w:sz="0" w:space="0" w:color="auto"/>
            <w:bottom w:val="none" w:sz="0" w:space="0" w:color="auto"/>
            <w:right w:val="none" w:sz="0" w:space="0" w:color="auto"/>
          </w:divBdr>
        </w:div>
      </w:divsChild>
    </w:div>
    <w:div w:id="620920656">
      <w:bodyDiv w:val="1"/>
      <w:marLeft w:val="0"/>
      <w:marRight w:val="0"/>
      <w:marTop w:val="0"/>
      <w:marBottom w:val="0"/>
      <w:divBdr>
        <w:top w:val="none" w:sz="0" w:space="0" w:color="auto"/>
        <w:left w:val="none" w:sz="0" w:space="0" w:color="auto"/>
        <w:bottom w:val="none" w:sz="0" w:space="0" w:color="auto"/>
        <w:right w:val="none" w:sz="0" w:space="0" w:color="auto"/>
      </w:divBdr>
    </w:div>
    <w:div w:id="640305210">
      <w:bodyDiv w:val="1"/>
      <w:marLeft w:val="0"/>
      <w:marRight w:val="0"/>
      <w:marTop w:val="0"/>
      <w:marBottom w:val="0"/>
      <w:divBdr>
        <w:top w:val="none" w:sz="0" w:space="0" w:color="auto"/>
        <w:left w:val="none" w:sz="0" w:space="0" w:color="auto"/>
        <w:bottom w:val="none" w:sz="0" w:space="0" w:color="auto"/>
        <w:right w:val="none" w:sz="0" w:space="0" w:color="auto"/>
      </w:divBdr>
    </w:div>
    <w:div w:id="665715733">
      <w:bodyDiv w:val="1"/>
      <w:marLeft w:val="0"/>
      <w:marRight w:val="0"/>
      <w:marTop w:val="0"/>
      <w:marBottom w:val="0"/>
      <w:divBdr>
        <w:top w:val="none" w:sz="0" w:space="0" w:color="auto"/>
        <w:left w:val="none" w:sz="0" w:space="0" w:color="auto"/>
        <w:bottom w:val="none" w:sz="0" w:space="0" w:color="auto"/>
        <w:right w:val="none" w:sz="0" w:space="0" w:color="auto"/>
      </w:divBdr>
    </w:div>
    <w:div w:id="708141915">
      <w:bodyDiv w:val="1"/>
      <w:marLeft w:val="0"/>
      <w:marRight w:val="0"/>
      <w:marTop w:val="0"/>
      <w:marBottom w:val="0"/>
      <w:divBdr>
        <w:top w:val="none" w:sz="0" w:space="0" w:color="auto"/>
        <w:left w:val="none" w:sz="0" w:space="0" w:color="auto"/>
        <w:bottom w:val="none" w:sz="0" w:space="0" w:color="auto"/>
        <w:right w:val="none" w:sz="0" w:space="0" w:color="auto"/>
      </w:divBdr>
    </w:div>
    <w:div w:id="713887857">
      <w:bodyDiv w:val="1"/>
      <w:marLeft w:val="0"/>
      <w:marRight w:val="0"/>
      <w:marTop w:val="0"/>
      <w:marBottom w:val="0"/>
      <w:divBdr>
        <w:top w:val="none" w:sz="0" w:space="0" w:color="auto"/>
        <w:left w:val="none" w:sz="0" w:space="0" w:color="auto"/>
        <w:bottom w:val="none" w:sz="0" w:space="0" w:color="auto"/>
        <w:right w:val="none" w:sz="0" w:space="0" w:color="auto"/>
      </w:divBdr>
    </w:div>
    <w:div w:id="749353542">
      <w:bodyDiv w:val="1"/>
      <w:marLeft w:val="0"/>
      <w:marRight w:val="0"/>
      <w:marTop w:val="0"/>
      <w:marBottom w:val="0"/>
      <w:divBdr>
        <w:top w:val="none" w:sz="0" w:space="0" w:color="auto"/>
        <w:left w:val="none" w:sz="0" w:space="0" w:color="auto"/>
        <w:bottom w:val="none" w:sz="0" w:space="0" w:color="auto"/>
        <w:right w:val="none" w:sz="0" w:space="0" w:color="auto"/>
      </w:divBdr>
    </w:div>
    <w:div w:id="829370803">
      <w:bodyDiv w:val="1"/>
      <w:marLeft w:val="0"/>
      <w:marRight w:val="0"/>
      <w:marTop w:val="0"/>
      <w:marBottom w:val="0"/>
      <w:divBdr>
        <w:top w:val="none" w:sz="0" w:space="0" w:color="auto"/>
        <w:left w:val="none" w:sz="0" w:space="0" w:color="auto"/>
        <w:bottom w:val="none" w:sz="0" w:space="0" w:color="auto"/>
        <w:right w:val="none" w:sz="0" w:space="0" w:color="auto"/>
      </w:divBdr>
    </w:div>
    <w:div w:id="883911565">
      <w:bodyDiv w:val="1"/>
      <w:marLeft w:val="0"/>
      <w:marRight w:val="0"/>
      <w:marTop w:val="0"/>
      <w:marBottom w:val="0"/>
      <w:divBdr>
        <w:top w:val="none" w:sz="0" w:space="0" w:color="auto"/>
        <w:left w:val="none" w:sz="0" w:space="0" w:color="auto"/>
        <w:bottom w:val="none" w:sz="0" w:space="0" w:color="auto"/>
        <w:right w:val="none" w:sz="0" w:space="0" w:color="auto"/>
      </w:divBdr>
    </w:div>
    <w:div w:id="899558001">
      <w:bodyDiv w:val="1"/>
      <w:marLeft w:val="0"/>
      <w:marRight w:val="0"/>
      <w:marTop w:val="0"/>
      <w:marBottom w:val="0"/>
      <w:divBdr>
        <w:top w:val="none" w:sz="0" w:space="0" w:color="auto"/>
        <w:left w:val="none" w:sz="0" w:space="0" w:color="auto"/>
        <w:bottom w:val="none" w:sz="0" w:space="0" w:color="auto"/>
        <w:right w:val="none" w:sz="0" w:space="0" w:color="auto"/>
      </w:divBdr>
    </w:div>
    <w:div w:id="907881226">
      <w:bodyDiv w:val="1"/>
      <w:marLeft w:val="0"/>
      <w:marRight w:val="0"/>
      <w:marTop w:val="0"/>
      <w:marBottom w:val="0"/>
      <w:divBdr>
        <w:top w:val="none" w:sz="0" w:space="0" w:color="auto"/>
        <w:left w:val="none" w:sz="0" w:space="0" w:color="auto"/>
        <w:bottom w:val="none" w:sz="0" w:space="0" w:color="auto"/>
        <w:right w:val="none" w:sz="0" w:space="0" w:color="auto"/>
      </w:divBdr>
    </w:div>
    <w:div w:id="930235981">
      <w:bodyDiv w:val="1"/>
      <w:marLeft w:val="0"/>
      <w:marRight w:val="0"/>
      <w:marTop w:val="0"/>
      <w:marBottom w:val="0"/>
      <w:divBdr>
        <w:top w:val="none" w:sz="0" w:space="0" w:color="auto"/>
        <w:left w:val="none" w:sz="0" w:space="0" w:color="auto"/>
        <w:bottom w:val="none" w:sz="0" w:space="0" w:color="auto"/>
        <w:right w:val="none" w:sz="0" w:space="0" w:color="auto"/>
      </w:divBdr>
    </w:div>
    <w:div w:id="944966542">
      <w:bodyDiv w:val="1"/>
      <w:marLeft w:val="0"/>
      <w:marRight w:val="0"/>
      <w:marTop w:val="0"/>
      <w:marBottom w:val="0"/>
      <w:divBdr>
        <w:top w:val="none" w:sz="0" w:space="0" w:color="auto"/>
        <w:left w:val="none" w:sz="0" w:space="0" w:color="auto"/>
        <w:bottom w:val="none" w:sz="0" w:space="0" w:color="auto"/>
        <w:right w:val="none" w:sz="0" w:space="0" w:color="auto"/>
      </w:divBdr>
    </w:div>
    <w:div w:id="997461667">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5611255">
      <w:bodyDiv w:val="1"/>
      <w:marLeft w:val="0"/>
      <w:marRight w:val="0"/>
      <w:marTop w:val="0"/>
      <w:marBottom w:val="0"/>
      <w:divBdr>
        <w:top w:val="none" w:sz="0" w:space="0" w:color="auto"/>
        <w:left w:val="none" w:sz="0" w:space="0" w:color="auto"/>
        <w:bottom w:val="none" w:sz="0" w:space="0" w:color="auto"/>
        <w:right w:val="none" w:sz="0" w:space="0" w:color="auto"/>
      </w:divBdr>
    </w:div>
    <w:div w:id="1223372415">
      <w:bodyDiv w:val="1"/>
      <w:marLeft w:val="0"/>
      <w:marRight w:val="0"/>
      <w:marTop w:val="0"/>
      <w:marBottom w:val="0"/>
      <w:divBdr>
        <w:top w:val="none" w:sz="0" w:space="0" w:color="auto"/>
        <w:left w:val="none" w:sz="0" w:space="0" w:color="auto"/>
        <w:bottom w:val="none" w:sz="0" w:space="0" w:color="auto"/>
        <w:right w:val="none" w:sz="0" w:space="0" w:color="auto"/>
      </w:divBdr>
    </w:div>
    <w:div w:id="1232040149">
      <w:bodyDiv w:val="1"/>
      <w:marLeft w:val="0"/>
      <w:marRight w:val="0"/>
      <w:marTop w:val="0"/>
      <w:marBottom w:val="0"/>
      <w:divBdr>
        <w:top w:val="none" w:sz="0" w:space="0" w:color="auto"/>
        <w:left w:val="none" w:sz="0" w:space="0" w:color="auto"/>
        <w:bottom w:val="none" w:sz="0" w:space="0" w:color="auto"/>
        <w:right w:val="none" w:sz="0" w:space="0" w:color="auto"/>
      </w:divBdr>
    </w:div>
    <w:div w:id="1265185340">
      <w:bodyDiv w:val="1"/>
      <w:marLeft w:val="0"/>
      <w:marRight w:val="0"/>
      <w:marTop w:val="0"/>
      <w:marBottom w:val="0"/>
      <w:divBdr>
        <w:top w:val="none" w:sz="0" w:space="0" w:color="auto"/>
        <w:left w:val="none" w:sz="0" w:space="0" w:color="auto"/>
        <w:bottom w:val="none" w:sz="0" w:space="0" w:color="auto"/>
        <w:right w:val="none" w:sz="0" w:space="0" w:color="auto"/>
      </w:divBdr>
    </w:div>
    <w:div w:id="1346975278">
      <w:bodyDiv w:val="1"/>
      <w:marLeft w:val="0"/>
      <w:marRight w:val="0"/>
      <w:marTop w:val="0"/>
      <w:marBottom w:val="0"/>
      <w:divBdr>
        <w:top w:val="none" w:sz="0" w:space="0" w:color="auto"/>
        <w:left w:val="none" w:sz="0" w:space="0" w:color="auto"/>
        <w:bottom w:val="none" w:sz="0" w:space="0" w:color="auto"/>
        <w:right w:val="none" w:sz="0" w:space="0" w:color="auto"/>
      </w:divBdr>
    </w:div>
    <w:div w:id="1372801149">
      <w:bodyDiv w:val="1"/>
      <w:marLeft w:val="0"/>
      <w:marRight w:val="0"/>
      <w:marTop w:val="0"/>
      <w:marBottom w:val="0"/>
      <w:divBdr>
        <w:top w:val="none" w:sz="0" w:space="0" w:color="auto"/>
        <w:left w:val="none" w:sz="0" w:space="0" w:color="auto"/>
        <w:bottom w:val="none" w:sz="0" w:space="0" w:color="auto"/>
        <w:right w:val="none" w:sz="0" w:space="0" w:color="auto"/>
      </w:divBdr>
    </w:div>
    <w:div w:id="1374963252">
      <w:bodyDiv w:val="1"/>
      <w:marLeft w:val="0"/>
      <w:marRight w:val="0"/>
      <w:marTop w:val="0"/>
      <w:marBottom w:val="0"/>
      <w:divBdr>
        <w:top w:val="none" w:sz="0" w:space="0" w:color="auto"/>
        <w:left w:val="none" w:sz="0" w:space="0" w:color="auto"/>
        <w:bottom w:val="none" w:sz="0" w:space="0" w:color="auto"/>
        <w:right w:val="none" w:sz="0" w:space="0" w:color="auto"/>
      </w:divBdr>
    </w:div>
    <w:div w:id="1440223344">
      <w:bodyDiv w:val="1"/>
      <w:marLeft w:val="0"/>
      <w:marRight w:val="0"/>
      <w:marTop w:val="0"/>
      <w:marBottom w:val="0"/>
      <w:divBdr>
        <w:top w:val="none" w:sz="0" w:space="0" w:color="auto"/>
        <w:left w:val="none" w:sz="0" w:space="0" w:color="auto"/>
        <w:bottom w:val="none" w:sz="0" w:space="0" w:color="auto"/>
        <w:right w:val="none" w:sz="0" w:space="0" w:color="auto"/>
      </w:divBdr>
    </w:div>
    <w:div w:id="1449394880">
      <w:bodyDiv w:val="1"/>
      <w:marLeft w:val="0"/>
      <w:marRight w:val="0"/>
      <w:marTop w:val="0"/>
      <w:marBottom w:val="0"/>
      <w:divBdr>
        <w:top w:val="none" w:sz="0" w:space="0" w:color="auto"/>
        <w:left w:val="none" w:sz="0" w:space="0" w:color="auto"/>
        <w:bottom w:val="none" w:sz="0" w:space="0" w:color="auto"/>
        <w:right w:val="none" w:sz="0" w:space="0" w:color="auto"/>
      </w:divBdr>
    </w:div>
    <w:div w:id="1459762249">
      <w:bodyDiv w:val="1"/>
      <w:marLeft w:val="0"/>
      <w:marRight w:val="0"/>
      <w:marTop w:val="0"/>
      <w:marBottom w:val="0"/>
      <w:divBdr>
        <w:top w:val="none" w:sz="0" w:space="0" w:color="auto"/>
        <w:left w:val="none" w:sz="0" w:space="0" w:color="auto"/>
        <w:bottom w:val="none" w:sz="0" w:space="0" w:color="auto"/>
        <w:right w:val="none" w:sz="0" w:space="0" w:color="auto"/>
      </w:divBdr>
    </w:div>
    <w:div w:id="1500727155">
      <w:bodyDiv w:val="1"/>
      <w:marLeft w:val="0"/>
      <w:marRight w:val="0"/>
      <w:marTop w:val="0"/>
      <w:marBottom w:val="0"/>
      <w:divBdr>
        <w:top w:val="none" w:sz="0" w:space="0" w:color="auto"/>
        <w:left w:val="none" w:sz="0" w:space="0" w:color="auto"/>
        <w:bottom w:val="none" w:sz="0" w:space="0" w:color="auto"/>
        <w:right w:val="none" w:sz="0" w:space="0" w:color="auto"/>
      </w:divBdr>
    </w:div>
    <w:div w:id="1528568672">
      <w:bodyDiv w:val="1"/>
      <w:marLeft w:val="0"/>
      <w:marRight w:val="0"/>
      <w:marTop w:val="0"/>
      <w:marBottom w:val="0"/>
      <w:divBdr>
        <w:top w:val="none" w:sz="0" w:space="0" w:color="auto"/>
        <w:left w:val="none" w:sz="0" w:space="0" w:color="auto"/>
        <w:bottom w:val="none" w:sz="0" w:space="0" w:color="auto"/>
        <w:right w:val="none" w:sz="0" w:space="0" w:color="auto"/>
      </w:divBdr>
    </w:div>
    <w:div w:id="1578858124">
      <w:bodyDiv w:val="1"/>
      <w:marLeft w:val="0"/>
      <w:marRight w:val="0"/>
      <w:marTop w:val="0"/>
      <w:marBottom w:val="0"/>
      <w:divBdr>
        <w:top w:val="none" w:sz="0" w:space="0" w:color="auto"/>
        <w:left w:val="none" w:sz="0" w:space="0" w:color="auto"/>
        <w:bottom w:val="none" w:sz="0" w:space="0" w:color="auto"/>
        <w:right w:val="none" w:sz="0" w:space="0" w:color="auto"/>
      </w:divBdr>
    </w:div>
    <w:div w:id="1601138603">
      <w:bodyDiv w:val="1"/>
      <w:marLeft w:val="0"/>
      <w:marRight w:val="0"/>
      <w:marTop w:val="0"/>
      <w:marBottom w:val="0"/>
      <w:divBdr>
        <w:top w:val="none" w:sz="0" w:space="0" w:color="auto"/>
        <w:left w:val="none" w:sz="0" w:space="0" w:color="auto"/>
        <w:bottom w:val="none" w:sz="0" w:space="0" w:color="auto"/>
        <w:right w:val="none" w:sz="0" w:space="0" w:color="auto"/>
      </w:divBdr>
    </w:div>
    <w:div w:id="1634674879">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721634122">
      <w:bodyDiv w:val="1"/>
      <w:marLeft w:val="0"/>
      <w:marRight w:val="0"/>
      <w:marTop w:val="0"/>
      <w:marBottom w:val="0"/>
      <w:divBdr>
        <w:top w:val="none" w:sz="0" w:space="0" w:color="auto"/>
        <w:left w:val="none" w:sz="0" w:space="0" w:color="auto"/>
        <w:bottom w:val="none" w:sz="0" w:space="0" w:color="auto"/>
        <w:right w:val="none" w:sz="0" w:space="0" w:color="auto"/>
      </w:divBdr>
    </w:div>
    <w:div w:id="1729112743">
      <w:bodyDiv w:val="1"/>
      <w:marLeft w:val="0"/>
      <w:marRight w:val="0"/>
      <w:marTop w:val="0"/>
      <w:marBottom w:val="0"/>
      <w:divBdr>
        <w:top w:val="none" w:sz="0" w:space="0" w:color="auto"/>
        <w:left w:val="none" w:sz="0" w:space="0" w:color="auto"/>
        <w:bottom w:val="none" w:sz="0" w:space="0" w:color="auto"/>
        <w:right w:val="none" w:sz="0" w:space="0" w:color="auto"/>
      </w:divBdr>
    </w:div>
    <w:div w:id="1773936770">
      <w:bodyDiv w:val="1"/>
      <w:marLeft w:val="0"/>
      <w:marRight w:val="0"/>
      <w:marTop w:val="0"/>
      <w:marBottom w:val="0"/>
      <w:divBdr>
        <w:top w:val="none" w:sz="0" w:space="0" w:color="auto"/>
        <w:left w:val="none" w:sz="0" w:space="0" w:color="auto"/>
        <w:bottom w:val="none" w:sz="0" w:space="0" w:color="auto"/>
        <w:right w:val="none" w:sz="0" w:space="0" w:color="auto"/>
      </w:divBdr>
    </w:div>
    <w:div w:id="1781149133">
      <w:bodyDiv w:val="1"/>
      <w:marLeft w:val="0"/>
      <w:marRight w:val="0"/>
      <w:marTop w:val="0"/>
      <w:marBottom w:val="0"/>
      <w:divBdr>
        <w:top w:val="none" w:sz="0" w:space="0" w:color="auto"/>
        <w:left w:val="none" w:sz="0" w:space="0" w:color="auto"/>
        <w:bottom w:val="none" w:sz="0" w:space="0" w:color="auto"/>
        <w:right w:val="none" w:sz="0" w:space="0" w:color="auto"/>
      </w:divBdr>
    </w:div>
    <w:div w:id="1794127084">
      <w:bodyDiv w:val="1"/>
      <w:marLeft w:val="0"/>
      <w:marRight w:val="0"/>
      <w:marTop w:val="0"/>
      <w:marBottom w:val="0"/>
      <w:divBdr>
        <w:top w:val="none" w:sz="0" w:space="0" w:color="auto"/>
        <w:left w:val="none" w:sz="0" w:space="0" w:color="auto"/>
        <w:bottom w:val="none" w:sz="0" w:space="0" w:color="auto"/>
        <w:right w:val="none" w:sz="0" w:space="0" w:color="auto"/>
      </w:divBdr>
    </w:div>
    <w:div w:id="1828088907">
      <w:bodyDiv w:val="1"/>
      <w:marLeft w:val="0"/>
      <w:marRight w:val="0"/>
      <w:marTop w:val="0"/>
      <w:marBottom w:val="0"/>
      <w:divBdr>
        <w:top w:val="none" w:sz="0" w:space="0" w:color="auto"/>
        <w:left w:val="none" w:sz="0" w:space="0" w:color="auto"/>
        <w:bottom w:val="none" w:sz="0" w:space="0" w:color="auto"/>
        <w:right w:val="none" w:sz="0" w:space="0" w:color="auto"/>
      </w:divBdr>
    </w:div>
    <w:div w:id="1890797949">
      <w:bodyDiv w:val="1"/>
      <w:marLeft w:val="0"/>
      <w:marRight w:val="0"/>
      <w:marTop w:val="0"/>
      <w:marBottom w:val="0"/>
      <w:divBdr>
        <w:top w:val="none" w:sz="0" w:space="0" w:color="auto"/>
        <w:left w:val="none" w:sz="0" w:space="0" w:color="auto"/>
        <w:bottom w:val="none" w:sz="0" w:space="0" w:color="auto"/>
        <w:right w:val="none" w:sz="0" w:space="0" w:color="auto"/>
      </w:divBdr>
    </w:div>
    <w:div w:id="1964191196">
      <w:bodyDiv w:val="1"/>
      <w:marLeft w:val="0"/>
      <w:marRight w:val="0"/>
      <w:marTop w:val="0"/>
      <w:marBottom w:val="0"/>
      <w:divBdr>
        <w:top w:val="none" w:sz="0" w:space="0" w:color="auto"/>
        <w:left w:val="none" w:sz="0" w:space="0" w:color="auto"/>
        <w:bottom w:val="none" w:sz="0" w:space="0" w:color="auto"/>
        <w:right w:val="none" w:sz="0" w:space="0" w:color="auto"/>
      </w:divBdr>
    </w:div>
    <w:div w:id="1987467552">
      <w:bodyDiv w:val="1"/>
      <w:marLeft w:val="0"/>
      <w:marRight w:val="0"/>
      <w:marTop w:val="0"/>
      <w:marBottom w:val="0"/>
      <w:divBdr>
        <w:top w:val="none" w:sz="0" w:space="0" w:color="auto"/>
        <w:left w:val="none" w:sz="0" w:space="0" w:color="auto"/>
        <w:bottom w:val="none" w:sz="0" w:space="0" w:color="auto"/>
        <w:right w:val="none" w:sz="0" w:space="0" w:color="auto"/>
      </w:divBdr>
    </w:div>
    <w:div w:id="2013801717">
      <w:bodyDiv w:val="1"/>
      <w:marLeft w:val="0"/>
      <w:marRight w:val="0"/>
      <w:marTop w:val="0"/>
      <w:marBottom w:val="0"/>
      <w:divBdr>
        <w:top w:val="none" w:sz="0" w:space="0" w:color="auto"/>
        <w:left w:val="none" w:sz="0" w:space="0" w:color="auto"/>
        <w:bottom w:val="none" w:sz="0" w:space="0" w:color="auto"/>
        <w:right w:val="none" w:sz="0" w:space="0" w:color="auto"/>
      </w:divBdr>
    </w:div>
    <w:div w:id="2107335711">
      <w:bodyDiv w:val="1"/>
      <w:marLeft w:val="0"/>
      <w:marRight w:val="0"/>
      <w:marTop w:val="0"/>
      <w:marBottom w:val="0"/>
      <w:divBdr>
        <w:top w:val="none" w:sz="0" w:space="0" w:color="auto"/>
        <w:left w:val="none" w:sz="0" w:space="0" w:color="auto"/>
        <w:bottom w:val="none" w:sz="0" w:space="0" w:color="auto"/>
        <w:right w:val="none" w:sz="0" w:space="0" w:color="auto"/>
      </w:divBdr>
    </w:div>
    <w:div w:id="2108235490">
      <w:bodyDiv w:val="1"/>
      <w:marLeft w:val="0"/>
      <w:marRight w:val="0"/>
      <w:marTop w:val="0"/>
      <w:marBottom w:val="0"/>
      <w:divBdr>
        <w:top w:val="none" w:sz="0" w:space="0" w:color="auto"/>
        <w:left w:val="none" w:sz="0" w:space="0" w:color="auto"/>
        <w:bottom w:val="none" w:sz="0" w:space="0" w:color="auto"/>
        <w:right w:val="none" w:sz="0" w:space="0" w:color="auto"/>
      </w:divBdr>
    </w:div>
    <w:div w:id="2127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A292-3E5D-44CC-AA87-9F810A84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12154</Words>
  <Characters>66849</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Rebolledo Aguilar, Dulce María</dc:creator>
  <cp:keywords/>
  <dc:description/>
  <cp:lastModifiedBy>Rebolledo Aguilar, Dulce María</cp:lastModifiedBy>
  <cp:revision>7</cp:revision>
  <cp:lastPrinted>2022-02-23T20:02:00Z</cp:lastPrinted>
  <dcterms:created xsi:type="dcterms:W3CDTF">2022-02-22T21:12:00Z</dcterms:created>
  <dcterms:modified xsi:type="dcterms:W3CDTF">2022-02-23T20:03:00Z</dcterms:modified>
</cp:coreProperties>
</file>