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D" w:rsidRDefault="000D292A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HK Grotesk" w:eastAsia="Calibri" w:hAnsi="HK Grotesk" w:cs="Arial"/>
          <w:b/>
          <w:spacing w:val="-1"/>
          <w:sz w:val="28"/>
          <w:szCs w:val="28"/>
        </w:rPr>
        <w:t>DEUDA PÚBLICA</w:t>
      </w:r>
    </w:p>
    <w:p w:rsidR="000D292A" w:rsidRDefault="000D292A" w:rsidP="000D292A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</w:p>
    <w:p w:rsidR="000D292A" w:rsidRDefault="00F5078D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>El Decreto de Presupuesto de Egresos del Estado de Querétaro para el Ejercicio Fiscal 2021 tomó en consideración que e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>l saldo de la deuda del Poder Ejecutivo del Estado de Querétaro al cierre del ejercicio 2019 ascendió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>a $245,973,887.00</w:t>
      </w:r>
      <w:r>
        <w:rPr>
          <w:rFonts w:ascii="HK Grotesk" w:eastAsia="Calibri" w:hAnsi="HK Grotesk" w:cs="Arial"/>
          <w:spacing w:val="-1"/>
          <w:sz w:val="22"/>
          <w:szCs w:val="28"/>
        </w:rPr>
        <w:t>, se estimó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 xml:space="preserve"> que al fin</w:t>
      </w:r>
      <w:r>
        <w:rPr>
          <w:rFonts w:ascii="HK Grotesk" w:eastAsia="Calibri" w:hAnsi="HK Grotesk" w:cs="Arial"/>
          <w:spacing w:val="-1"/>
          <w:sz w:val="22"/>
          <w:szCs w:val="28"/>
        </w:rPr>
        <w:t>al del ejercicio 2020, se ubicara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 xml:space="preserve"> en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$166,420,180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>, proyect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ando 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>que a</w:t>
      </w:r>
      <w:r>
        <w:rPr>
          <w:rFonts w:ascii="HK Grotesk" w:eastAsia="Calibri" w:hAnsi="HK Grotesk" w:cs="Arial"/>
          <w:spacing w:val="-1"/>
          <w:sz w:val="22"/>
          <w:szCs w:val="28"/>
        </w:rPr>
        <w:t>l final del ejercicio 2021 quedara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 xml:space="preserve"> en $72,422,769.00</w:t>
      </w:r>
      <w:r>
        <w:rPr>
          <w:rFonts w:ascii="HK Grotesk" w:eastAsia="Calibri" w:hAnsi="HK Grotesk" w:cs="Arial"/>
          <w:spacing w:val="-1"/>
          <w:sz w:val="22"/>
          <w:szCs w:val="28"/>
        </w:rPr>
        <w:t>.</w:t>
      </w:r>
    </w:p>
    <w:p w:rsidR="00F5078D" w:rsidRDefault="00F5078D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>Al cierre del ejercicio 2020 lo real de adeudo por concepto de Deuda Pública ascendió a $164,772,150.</w:t>
      </w:r>
    </w:p>
    <w:p w:rsid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ED5BF0" w:rsidRDefault="00F5078D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 xml:space="preserve">Por lo anterior, en el artículo 16 del Decreto se </w:t>
      </w:r>
      <w:r w:rsidR="00ED5BF0">
        <w:rPr>
          <w:rFonts w:ascii="HK Grotesk" w:eastAsia="Calibri" w:hAnsi="HK Grotesk" w:cs="Arial"/>
          <w:spacing w:val="-1"/>
          <w:sz w:val="22"/>
          <w:szCs w:val="28"/>
        </w:rPr>
        <w:t>consideró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lo siguiente:</w:t>
      </w:r>
    </w:p>
    <w:p w:rsidR="00ED5BF0" w:rsidRDefault="00F5078D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 w:rsidRPr="00F5078D">
        <w:rPr>
          <w:rFonts w:ascii="HK Grotesk" w:eastAsia="Calibri" w:hAnsi="HK Grotesk" w:cs="Arial"/>
          <w:spacing w:val="-1"/>
          <w:sz w:val="22"/>
          <w:szCs w:val="28"/>
        </w:rPr>
        <w:t>El monto del presupuesto asignado al pago de servicio de</w:t>
      </w:r>
      <w:r w:rsidR="003A5EBD">
        <w:rPr>
          <w:rFonts w:ascii="HK Grotesk" w:eastAsia="Calibri" w:hAnsi="HK Grotesk" w:cs="Arial"/>
          <w:spacing w:val="-1"/>
          <w:sz w:val="22"/>
          <w:szCs w:val="28"/>
        </w:rPr>
        <w:t xml:space="preserve"> la Deuda P</w:t>
      </w:r>
      <w:r>
        <w:rPr>
          <w:rFonts w:ascii="HK Grotesk" w:eastAsia="Calibri" w:hAnsi="HK Grotesk" w:cs="Arial"/>
          <w:spacing w:val="-1"/>
          <w:sz w:val="22"/>
          <w:szCs w:val="28"/>
        </w:rPr>
        <w:t>ública del Estado de</w:t>
      </w:r>
      <w:r w:rsidR="00ED5BF0"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 w:rsidRPr="00F5078D">
        <w:rPr>
          <w:rFonts w:ascii="HK Grotesk" w:eastAsia="Calibri" w:hAnsi="HK Grotesk" w:cs="Arial"/>
          <w:spacing w:val="-1"/>
          <w:sz w:val="22"/>
          <w:szCs w:val="28"/>
        </w:rPr>
        <w:t>Querétaro, es por $100,590,4</w:t>
      </w:r>
      <w:r w:rsidR="00ED5BF0">
        <w:rPr>
          <w:rFonts w:ascii="HK Grotesk" w:eastAsia="Calibri" w:hAnsi="HK Grotesk" w:cs="Arial"/>
          <w:spacing w:val="-1"/>
          <w:sz w:val="22"/>
          <w:szCs w:val="28"/>
        </w:rPr>
        <w:t>81 y</w:t>
      </w:r>
      <w:r w:rsidR="00ED5BF0" w:rsidRPr="00ED5BF0">
        <w:rPr>
          <w:rFonts w:ascii="HK Grotesk" w:eastAsia="Calibri" w:hAnsi="HK Grotesk" w:cs="Arial"/>
          <w:spacing w:val="-1"/>
          <w:sz w:val="22"/>
          <w:szCs w:val="28"/>
        </w:rPr>
        <w:t xml:space="preserve"> se integra de la forma siguiente:</w:t>
      </w:r>
      <w:r w:rsidR="00ED5BF0" w:rsidRPr="00ED5BF0">
        <w:rPr>
          <w:rFonts w:ascii="HK Grotesk" w:eastAsia="Calibri" w:hAnsi="HK Grotesk" w:cs="Arial"/>
          <w:spacing w:val="-1"/>
          <w:sz w:val="22"/>
          <w:szCs w:val="28"/>
        </w:rPr>
        <w:c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4"/>
        <w:gridCol w:w="2640"/>
      </w:tblGrid>
      <w:tr w:rsidR="00ED5BF0" w:rsidTr="0068521E">
        <w:trPr>
          <w:trHeight w:val="264"/>
          <w:jc w:val="center"/>
        </w:trPr>
        <w:tc>
          <w:tcPr>
            <w:tcW w:w="2884" w:type="dxa"/>
            <w:shd w:val="clear" w:color="auto" w:fill="D0CECE" w:themeFill="background2" w:themeFillShade="E6"/>
          </w:tcPr>
          <w:p w:rsidR="00ED5BF0" w:rsidRPr="003A5EBD" w:rsidRDefault="0068521E" w:rsidP="003A5EBD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</w:pPr>
            <w:r w:rsidRPr="003A5EBD"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  <w:t>CONCEPTO</w:t>
            </w:r>
          </w:p>
        </w:tc>
        <w:tc>
          <w:tcPr>
            <w:tcW w:w="2640" w:type="dxa"/>
            <w:shd w:val="clear" w:color="auto" w:fill="D0CECE" w:themeFill="background2" w:themeFillShade="E6"/>
          </w:tcPr>
          <w:p w:rsidR="00ED5BF0" w:rsidRPr="003A5EBD" w:rsidRDefault="0068521E" w:rsidP="00ED5BF0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</w:pPr>
            <w:r w:rsidRPr="003A5EBD"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  <w:t>MONTO</w:t>
            </w:r>
          </w:p>
        </w:tc>
      </w:tr>
      <w:tr w:rsidR="00ED5BF0" w:rsidTr="0068521E">
        <w:trPr>
          <w:trHeight w:val="264"/>
          <w:jc w:val="center"/>
        </w:trPr>
        <w:tc>
          <w:tcPr>
            <w:tcW w:w="2884" w:type="dxa"/>
          </w:tcPr>
          <w:p w:rsidR="00ED5BF0" w:rsidRPr="003A5EBD" w:rsidRDefault="00ED5BF0" w:rsidP="003A5EBD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spacing w:val="-1"/>
                <w:sz w:val="20"/>
                <w:szCs w:val="28"/>
              </w:rPr>
            </w:pPr>
            <w:r w:rsidRPr="003A5EBD">
              <w:rPr>
                <w:rFonts w:ascii="HK Grotesk" w:eastAsia="Calibri" w:hAnsi="HK Grotesk" w:cs="Arial"/>
                <w:spacing w:val="-1"/>
                <w:sz w:val="20"/>
                <w:szCs w:val="28"/>
              </w:rPr>
              <w:t>Amortización a Capital</w:t>
            </w:r>
          </w:p>
        </w:tc>
        <w:tc>
          <w:tcPr>
            <w:tcW w:w="2640" w:type="dxa"/>
          </w:tcPr>
          <w:p w:rsidR="00ED5BF0" w:rsidRPr="003A5EBD" w:rsidRDefault="00ED5BF0" w:rsidP="003A5EBD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spacing w:val="-1"/>
                <w:sz w:val="20"/>
                <w:szCs w:val="28"/>
              </w:rPr>
            </w:pPr>
            <w:r w:rsidRPr="003A5EBD">
              <w:rPr>
                <w:rFonts w:ascii="HK Grotesk" w:eastAsia="Calibri" w:hAnsi="HK Grotesk" w:cs="Arial"/>
                <w:spacing w:val="-1"/>
                <w:sz w:val="20"/>
                <w:szCs w:val="28"/>
              </w:rPr>
              <w:t>93,997,410</w:t>
            </w:r>
          </w:p>
        </w:tc>
      </w:tr>
      <w:tr w:rsidR="00ED5BF0" w:rsidTr="0068521E">
        <w:trPr>
          <w:trHeight w:val="250"/>
          <w:jc w:val="center"/>
        </w:trPr>
        <w:tc>
          <w:tcPr>
            <w:tcW w:w="2884" w:type="dxa"/>
          </w:tcPr>
          <w:p w:rsidR="00ED5BF0" w:rsidRPr="003A5EBD" w:rsidRDefault="00ED5BF0" w:rsidP="003A5EBD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spacing w:val="-1"/>
                <w:sz w:val="20"/>
                <w:szCs w:val="28"/>
              </w:rPr>
            </w:pPr>
            <w:r w:rsidRPr="003A5EBD">
              <w:rPr>
                <w:rFonts w:ascii="HK Grotesk" w:eastAsia="Calibri" w:hAnsi="HK Grotesk" w:cs="Arial"/>
                <w:spacing w:val="-1"/>
                <w:sz w:val="20"/>
                <w:szCs w:val="28"/>
              </w:rPr>
              <w:t>Intereses</w:t>
            </w:r>
          </w:p>
        </w:tc>
        <w:tc>
          <w:tcPr>
            <w:tcW w:w="2640" w:type="dxa"/>
          </w:tcPr>
          <w:p w:rsidR="00ED5BF0" w:rsidRPr="003A5EBD" w:rsidRDefault="00ED5BF0" w:rsidP="003A5EBD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spacing w:val="-1"/>
                <w:sz w:val="20"/>
                <w:szCs w:val="28"/>
              </w:rPr>
            </w:pPr>
            <w:r w:rsidRPr="003A5EBD">
              <w:rPr>
                <w:rFonts w:ascii="HK Grotesk" w:eastAsia="Calibri" w:hAnsi="HK Grotesk" w:cs="Arial"/>
                <w:spacing w:val="-1"/>
                <w:sz w:val="20"/>
                <w:szCs w:val="28"/>
              </w:rPr>
              <w:t>6,593,071</w:t>
            </w:r>
          </w:p>
        </w:tc>
      </w:tr>
    </w:tbl>
    <w:p w:rsidR="00F5078D" w:rsidRDefault="00ED5BF0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</w:p>
    <w:p w:rsidR="003A5EBD" w:rsidRDefault="005F3946" w:rsidP="003A5EB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EB1EBB" wp14:editId="7B06D68E">
            <wp:simplePos x="0" y="0"/>
            <wp:positionH relativeFrom="column">
              <wp:posOffset>4194809</wp:posOffset>
            </wp:positionH>
            <wp:positionV relativeFrom="paragraph">
              <wp:posOffset>466724</wp:posOffset>
            </wp:positionV>
            <wp:extent cx="4785945" cy="2390775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BD">
        <w:rPr>
          <w:rFonts w:ascii="HK Grotesk" w:eastAsia="Calibri" w:hAnsi="HK Grotesk" w:cs="Arial"/>
          <w:spacing w:val="-1"/>
          <w:sz w:val="22"/>
          <w:szCs w:val="28"/>
        </w:rPr>
        <w:t>Durante el ejercicio 2021</w:t>
      </w:r>
      <w:r>
        <w:rPr>
          <w:rFonts w:ascii="HK Grotesk" w:eastAsia="Calibri" w:hAnsi="HK Grotesk" w:cs="Arial"/>
          <w:spacing w:val="-1"/>
          <w:sz w:val="22"/>
          <w:szCs w:val="28"/>
        </w:rPr>
        <w:t>, y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t xml:space="preserve"> en lo referente a la Deuda Pública, se erogó un total de </w:t>
      </w:r>
      <w:r w:rsidR="003A5EBD">
        <w:rPr>
          <w:rFonts w:ascii="HK Grotesk" w:eastAsia="Calibri" w:hAnsi="HK Grotesk" w:cs="Arial"/>
          <w:spacing w:val="-1"/>
          <w:sz w:val="22"/>
          <w:szCs w:val="28"/>
        </w:rPr>
        <w:t>$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t>168,328,130</w:t>
      </w:r>
      <w:r w:rsidR="003A5EBD"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t xml:space="preserve">de los cuales </w:t>
      </w:r>
      <w:r w:rsidR="003A5EBD">
        <w:rPr>
          <w:rFonts w:ascii="HK Grotesk" w:eastAsia="Calibri" w:hAnsi="HK Grotesk" w:cs="Arial"/>
          <w:spacing w:val="-1"/>
          <w:sz w:val="22"/>
          <w:szCs w:val="28"/>
        </w:rPr>
        <w:t>el 2.11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t>% correspondió al</w:t>
      </w:r>
      <w:r>
        <w:rPr>
          <w:rFonts w:ascii="HK Grotesk" w:eastAsia="Calibri" w:hAnsi="HK Grotesk" w:cs="Arial"/>
          <w:spacing w:val="-1"/>
          <w:sz w:val="22"/>
          <w:szCs w:val="28"/>
        </w:rPr>
        <w:t xml:space="preserve"> </w:t>
      </w:r>
      <w:r w:rsidR="003A5EBD">
        <w:rPr>
          <w:rFonts w:ascii="HK Grotesk" w:eastAsia="Calibri" w:hAnsi="HK Grotesk" w:cs="Arial"/>
          <w:spacing w:val="-1"/>
          <w:sz w:val="22"/>
          <w:szCs w:val="28"/>
        </w:rPr>
        <w:t>pago de intereses, y 97.89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t>% concernió a la amortización de la deuda</w:t>
      </w:r>
      <w:r>
        <w:rPr>
          <w:rFonts w:ascii="HK Grotesk" w:eastAsia="Calibri" w:hAnsi="HK Grotesk" w:cs="Arial"/>
          <w:spacing w:val="-1"/>
          <w:sz w:val="22"/>
          <w:szCs w:val="28"/>
        </w:rPr>
        <w:t>, como se detalla a continuación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t>.</w:t>
      </w:r>
      <w:r w:rsidR="003A5EBD" w:rsidRPr="003A5EBD">
        <w:rPr>
          <w:rFonts w:ascii="HK Grotesk" w:eastAsia="Calibri" w:hAnsi="HK Grotesk" w:cs="Arial"/>
          <w:spacing w:val="-1"/>
          <w:sz w:val="22"/>
          <w:szCs w:val="28"/>
        </w:rPr>
        <w:cr/>
      </w:r>
    </w:p>
    <w:p w:rsidR="005F3946" w:rsidRDefault="005F3946" w:rsidP="003A5EB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Default="005F3946" w:rsidP="003A5EB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Default="005F3946" w:rsidP="003A5EB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tbl>
      <w:tblPr>
        <w:tblpPr w:leftFromText="141" w:rightFromText="141" w:vertAnchor="text" w:tblpY="1"/>
        <w:tblOverlap w:val="never"/>
        <w:tblW w:w="4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93"/>
      </w:tblGrid>
      <w:tr w:rsidR="005F3946" w:rsidTr="0068521E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F3946" w:rsidRPr="008D5CAE" w:rsidRDefault="0068521E" w:rsidP="0068521E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</w:pPr>
            <w:r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  <w:t>CONCEPTO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5F3946" w:rsidRPr="008D5CAE" w:rsidRDefault="0068521E" w:rsidP="0068521E">
            <w:pPr>
              <w:autoSpaceDE w:val="0"/>
              <w:autoSpaceDN w:val="0"/>
              <w:adjustRightInd w:val="0"/>
              <w:jc w:val="center"/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</w:pPr>
            <w:r>
              <w:rPr>
                <w:rFonts w:ascii="HK Grotesk" w:eastAsia="Calibri" w:hAnsi="HK Grotesk" w:cs="Arial"/>
                <w:b/>
                <w:spacing w:val="-1"/>
                <w:sz w:val="22"/>
                <w:szCs w:val="28"/>
              </w:rPr>
              <w:t>MONTO</w:t>
            </w:r>
          </w:p>
        </w:tc>
      </w:tr>
      <w:tr w:rsidR="005F3946" w:rsidTr="00DE3FE7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46" w:rsidRDefault="005F3946" w:rsidP="00592BE4">
            <w:pPr>
              <w:jc w:val="both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Amortización de la deuda pública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46" w:rsidRDefault="005F3946" w:rsidP="00DE3FE7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164,772,150</w:t>
            </w:r>
          </w:p>
        </w:tc>
      </w:tr>
      <w:tr w:rsidR="005F3946" w:rsidTr="00DE3FE7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46" w:rsidRDefault="005F3946" w:rsidP="00592BE4">
            <w:pPr>
              <w:jc w:val="both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Intereses de la deuda pública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46" w:rsidRDefault="005F3946" w:rsidP="00DE3FE7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3,555,980</w:t>
            </w:r>
          </w:p>
        </w:tc>
      </w:tr>
    </w:tbl>
    <w:p w:rsidR="003A5EBD" w:rsidRDefault="00592BE4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  <w:r>
        <w:rPr>
          <w:rFonts w:ascii="HK Grotesk" w:eastAsia="Calibri" w:hAnsi="HK Grotesk" w:cs="Arial"/>
          <w:spacing w:val="-1"/>
          <w:sz w:val="22"/>
          <w:szCs w:val="28"/>
        </w:rPr>
        <w:br w:type="textWrapping" w:clear="all"/>
      </w:r>
    </w:p>
    <w:p w:rsid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28"/>
        </w:rPr>
      </w:pPr>
    </w:p>
    <w:p w:rsidR="005F3946" w:rsidRPr="005F3946" w:rsidRDefault="005F3946" w:rsidP="00F5078D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28"/>
        </w:rPr>
      </w:pPr>
      <w:r w:rsidRPr="005F3946">
        <w:rPr>
          <w:rFonts w:ascii="HK Grotesk" w:eastAsia="Calibri" w:hAnsi="HK Grotesk" w:cs="Arial"/>
          <w:b/>
          <w:spacing w:val="-1"/>
          <w:sz w:val="22"/>
          <w:szCs w:val="28"/>
        </w:rPr>
        <w:t>Se destaca que al cierre del ejercicio 2021 la Deuda Pública del Poder Ejecutivo del Estado de Querétaro es de $0.00</w:t>
      </w:r>
    </w:p>
    <w:sectPr w:rsidR="005F3946" w:rsidRPr="005F3946" w:rsidSect="00A26A6E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BD" w:rsidRDefault="00777FBD">
      <w:r>
        <w:separator/>
      </w:r>
    </w:p>
  </w:endnote>
  <w:endnote w:type="continuationSeparator" w:id="0">
    <w:p w:rsidR="00777FBD" w:rsidRDefault="0077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DC2929">
      <w:rPr>
        <w:rFonts w:ascii="Avenir LT Std 45 Book" w:hAnsi="Avenir LT Std 45 Book" w:cs="Arial"/>
        <w:color w:val="808080"/>
        <w:szCs w:val="20"/>
      </w:rPr>
      <w:t>EGRESOS</w:t>
    </w:r>
    <w:r>
      <w:rPr>
        <w:rFonts w:ascii="Avenir LT Std 45 Book" w:hAnsi="Avenir LT Std 45 Book" w:cs="Arial"/>
        <w:color w:val="808080"/>
        <w:szCs w:val="20"/>
      </w:rPr>
      <w:t xml:space="preserve">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F394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12C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F23E09" w:rsidRPr="00813029" w:rsidRDefault="00F23E0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CF00D0" w:rsidRDefault="00F23E09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080A4E" wp14:editId="1780412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3231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D292A">
      <w:rPr>
        <w:rFonts w:ascii="Avenir LT Std 45 Book" w:hAnsi="Avenir LT Std 45 Book" w:cs="Arial"/>
        <w:color w:val="808080"/>
        <w:szCs w:val="20"/>
      </w:rPr>
      <w:t>DEUDA PÚBLICA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12C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12C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BD" w:rsidRDefault="00777FBD">
      <w:r>
        <w:separator/>
      </w:r>
    </w:p>
  </w:footnote>
  <w:footnote w:type="continuationSeparator" w:id="0">
    <w:p w:rsidR="00777FBD" w:rsidRDefault="0077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EB7675" wp14:editId="452C46C9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767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4EA47685" wp14:editId="16639C91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F23E09" w:rsidRPr="002809DB" w:rsidRDefault="00F23E09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B0B403" wp14:editId="7AF6AE61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3311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9" w:rsidRPr="00712850" w:rsidRDefault="00F23E09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F2EFAD" wp14:editId="66E1969D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F23E09" w:rsidRPr="00243B20" w:rsidRDefault="00F23E09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2EF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F23E09" w:rsidRPr="00243B20" w:rsidRDefault="00F23E09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CE25F7E" wp14:editId="03763AB8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7656E" wp14:editId="3BBB1CD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823"/>
    <w:rsid w:val="000C69D3"/>
    <w:rsid w:val="000C6B30"/>
    <w:rsid w:val="000C785E"/>
    <w:rsid w:val="000D0770"/>
    <w:rsid w:val="000D1C10"/>
    <w:rsid w:val="000D292A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6E2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2C5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22E3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58BD"/>
    <w:rsid w:val="0039655C"/>
    <w:rsid w:val="00397430"/>
    <w:rsid w:val="003A00D3"/>
    <w:rsid w:val="003A0374"/>
    <w:rsid w:val="003A2790"/>
    <w:rsid w:val="003A517C"/>
    <w:rsid w:val="003A5EBD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2795C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0A39"/>
    <w:rsid w:val="0056133C"/>
    <w:rsid w:val="00561524"/>
    <w:rsid w:val="005617BD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2BE4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0B2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946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21E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455C"/>
    <w:rsid w:val="006F5C81"/>
    <w:rsid w:val="006F70EC"/>
    <w:rsid w:val="006F739B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1B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77FBD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3380"/>
    <w:rsid w:val="00834484"/>
    <w:rsid w:val="008347B1"/>
    <w:rsid w:val="00834C6C"/>
    <w:rsid w:val="00834CC0"/>
    <w:rsid w:val="00834DE9"/>
    <w:rsid w:val="00840A6D"/>
    <w:rsid w:val="00840BDE"/>
    <w:rsid w:val="008410FB"/>
    <w:rsid w:val="008412EF"/>
    <w:rsid w:val="00841F59"/>
    <w:rsid w:val="00842977"/>
    <w:rsid w:val="00842CB4"/>
    <w:rsid w:val="008433D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0AF"/>
    <w:rsid w:val="008710D0"/>
    <w:rsid w:val="008727F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423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CAE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6A6E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0B2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3B3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140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2094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36A"/>
    <w:rsid w:val="00BD7874"/>
    <w:rsid w:val="00BE1011"/>
    <w:rsid w:val="00BE155D"/>
    <w:rsid w:val="00BE16CB"/>
    <w:rsid w:val="00BE1B32"/>
    <w:rsid w:val="00BE40BB"/>
    <w:rsid w:val="00BE489E"/>
    <w:rsid w:val="00BE5729"/>
    <w:rsid w:val="00BE7B67"/>
    <w:rsid w:val="00BE7BA6"/>
    <w:rsid w:val="00BF098B"/>
    <w:rsid w:val="00BF0D20"/>
    <w:rsid w:val="00BF2333"/>
    <w:rsid w:val="00BF2638"/>
    <w:rsid w:val="00BF34A0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E2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2929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3FE7"/>
    <w:rsid w:val="00DE4749"/>
    <w:rsid w:val="00DF083D"/>
    <w:rsid w:val="00DF31EA"/>
    <w:rsid w:val="00DF3918"/>
    <w:rsid w:val="00DF45B6"/>
    <w:rsid w:val="00DF5BAB"/>
    <w:rsid w:val="00DF5E25"/>
    <w:rsid w:val="00DF74BA"/>
    <w:rsid w:val="00E0059B"/>
    <w:rsid w:val="00E03F6F"/>
    <w:rsid w:val="00E0405A"/>
    <w:rsid w:val="00E04885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63C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BF0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E0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078D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0C1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8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hernandezra\Documents\CUENTA%20P&#218;BLICA%202021\Tomo%20I\Libro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693205944798295E-2"/>
          <c:y val="0.12093275193190492"/>
          <c:w val="0.69984076433121012"/>
          <c:h val="0.65189279626899221"/>
        </c:manualLayout>
      </c:layout>
      <c:pie3DChart>
        <c:varyColors val="1"/>
        <c:ser>
          <c:idx val="0"/>
          <c:order val="0"/>
          <c:tx>
            <c:strRef>
              <c:f>'Deuda Pública'!$E$3</c:f>
              <c:strCache>
                <c:ptCount val="1"/>
                <c:pt idx="0">
                  <c:v>MONTO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ECE-402B-9CA1-3D2C118DB15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ECE-402B-9CA1-3D2C118DB154}"/>
              </c:ext>
            </c:extLst>
          </c:dPt>
          <c:dLbls>
            <c:dLbl>
              <c:idx val="0"/>
              <c:layout>
                <c:manualLayout>
                  <c:x val="0.28028016700937858"/>
                  <c:y val="-4.45228011837165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HK Grotesk" panose="00000500000000000000" pitchFamily="50" charset="0"/>
                        <a:ea typeface="+mn-ea"/>
                        <a:cs typeface="+mn-cs"/>
                      </a:defRPr>
                    </a:pPr>
                    <a:fld id="{ED896B00-CECB-4E5C-9B98-2210F8A1BF90}" type="CATEGORYNAME">
                      <a:rPr lang="en-US" b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  <a:latin typeface="HK Grotesk" panose="00000500000000000000" pitchFamily="50" charset="0"/>
                        </a:defRPr>
                      </a:pPr>
                      <a:t>[NOMBRE DE CATEGORÍA]</a:t>
                    </a:fld>
                    <a:endParaRPr lang="en-US" b="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>
                        <a:solidFill>
                          <a:schemeClr val="tx1"/>
                        </a:solidFill>
                        <a:latin typeface="HK Grotesk" panose="00000500000000000000" pitchFamily="50" charset="0"/>
                      </a:defRPr>
                    </a:pPr>
                    <a:fld id="{4163DFD4-2BBB-4B76-BD87-98A69DF69FC1}" type="VALUE">
                      <a:rPr lang="en-US" b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  <a:latin typeface="HK Grotesk" panose="00000500000000000000" pitchFamily="50" charset="0"/>
                        </a:defRPr>
                      </a:pPr>
                      <a:t>[VALOR]</a:t>
                    </a:fld>
                    <a:endParaRPr lang="en-US" b="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>
                        <a:solidFill>
                          <a:schemeClr val="tx1"/>
                        </a:solidFill>
                        <a:latin typeface="HK Grotesk" panose="00000500000000000000" pitchFamily="50" charset="0"/>
                      </a:defRPr>
                    </a:pPr>
                    <a:fld id="{C22E4EF4-C6D6-4B7C-9FE5-143033DB392D}" type="PERCENTAGE">
                      <a:rPr lang="en-US" b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  <a:latin typeface="HK Grotesk" panose="00000500000000000000" pitchFamily="50" charset="0"/>
                        </a:defRPr>
                      </a:pPr>
                      <a:t>[PORCENTAJE]</a:t>
                    </a:fld>
                    <a:endParaRPr lang="es-MX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HK Grotesk" panose="00000500000000000000" pitchFamily="50" charset="0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619297189762105"/>
                      <c:h val="0.313592036055254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CE-402B-9CA1-3D2C118DB154}"/>
                </c:ext>
              </c:extLst>
            </c:dLbl>
            <c:dLbl>
              <c:idx val="1"/>
              <c:layout>
                <c:manualLayout>
                  <c:x val="-0.25405570860116317"/>
                  <c:y val="0"/>
                </c:manualLayout>
              </c:layout>
              <c:tx>
                <c:rich>
                  <a:bodyPr/>
                  <a:lstStyle/>
                  <a:p>
                    <a:fld id="{4F723D04-E0AD-40E9-AC7D-47E2CD6E77C2}" type="CATEGORYNAME">
                      <a:rPr lang="en-US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  <a:p>
                    <a:fld id="{ABB38F4A-582D-4D95-94EA-6E6788EA8AEA}" type="VALUE">
                      <a:rPr lang="en-US">
                        <a:solidFill>
                          <a:schemeClr val="tx1"/>
                        </a:solidFill>
                      </a:rPr>
                      <a:pPr/>
                      <a:t>[VALOR]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  <a:p>
                    <a:fld id="{2F7734AD-19A7-4BFD-B450-AEAC4D43EA84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146617692072239"/>
                      <c:h val="0.329403508771929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ECE-402B-9CA1-3D2C118DB1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HK Grotesk" panose="00000500000000000000" pitchFamily="50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1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'Deuda Pública'!$D$4:$D$5</c:f>
              <c:strCache>
                <c:ptCount val="2"/>
                <c:pt idx="0">
                  <c:v>Amortización de la deuda pública</c:v>
                </c:pt>
                <c:pt idx="1">
                  <c:v>Intereses de la deuda pública</c:v>
                </c:pt>
              </c:strCache>
            </c:strRef>
          </c:cat>
          <c:val>
            <c:numRef>
              <c:f>'Deuda Pública'!$E$4:$E$5</c:f>
              <c:numCache>
                <c:formatCode>#,##0</c:formatCode>
                <c:ptCount val="2"/>
                <c:pt idx="0">
                  <c:v>164772150</c:v>
                </c:pt>
                <c:pt idx="1">
                  <c:v>3555980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CE-402B-9CA1-3D2C118DB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9FC45F2-0BAC-4036-9EE3-75B61374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11</cp:revision>
  <cp:lastPrinted>2022-02-28T17:55:00Z</cp:lastPrinted>
  <dcterms:created xsi:type="dcterms:W3CDTF">2022-02-25T23:27:00Z</dcterms:created>
  <dcterms:modified xsi:type="dcterms:W3CDTF">2022-02-28T17:55:00Z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